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Times New Roman"/>
          <w:sz w:val="32"/>
          <w:szCs w:val="32"/>
        </w:rPr>
      </w:pPr>
      <w:r>
        <w:rPr>
          <w:rFonts w:ascii="宋体" w:hAnsi="宋体" w:cs="Times New Roman"/>
          <w:sz w:val="32"/>
          <w:szCs w:val="32"/>
        </w:rPr>
        <w:t>华中农业大学教师岗位聘任中期评估表</w:t>
      </w:r>
    </w:p>
    <w:p>
      <w:pPr>
        <w:spacing w:afterLines="50"/>
        <w:rPr>
          <w:rFonts w:ascii="宋体" w:hAnsi="宋体" w:cs="Times New Roman"/>
          <w:sz w:val="24"/>
          <w:szCs w:val="24"/>
        </w:rPr>
      </w:pPr>
      <w:r>
        <w:rPr>
          <w:rFonts w:ascii="宋体" w:hAnsi="宋体" w:cs="Times New Roman"/>
          <w:sz w:val="24"/>
          <w:szCs w:val="24"/>
        </w:rPr>
        <w:t>学院：</w:t>
      </w:r>
      <w:r>
        <w:rPr>
          <w:rFonts w:hint="eastAsia" w:ascii="宋体" w:hAnsi="宋体" w:cs="Times New Roman"/>
          <w:sz w:val="24"/>
          <w:szCs w:val="24"/>
        </w:rPr>
        <w:t>动科动医学院</w:t>
      </w:r>
    </w:p>
    <w:tbl>
      <w:tblPr>
        <w:tblW w:w="14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1843"/>
        <w:gridCol w:w="802"/>
        <w:gridCol w:w="2174"/>
        <w:gridCol w:w="1795"/>
        <w:gridCol w:w="48"/>
        <w:gridCol w:w="2977"/>
      </w:tblGrid>
      <w:tr>
        <w:trPr>
          <w:trHeight w:val="583"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彭健</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二级岗位</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所属一级学科</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畜牧学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动物营养与饲料科学</w:t>
            </w:r>
          </w:p>
        </w:tc>
      </w:tr>
      <w:tr>
        <w:trPr>
          <w:trHeight w:val="542"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自我评估</w:t>
            </w:r>
          </w:p>
        </w:tc>
      </w:tr>
      <w:tr>
        <w:trPr>
          <w:trHeight w:val="58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项目</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聘任协议书约定的岗位职责与工作目标</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中期完成情况</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存在问题与改进计划</w:t>
            </w:r>
          </w:p>
        </w:tc>
      </w:tr>
      <w:tr>
        <w:trPr>
          <w:trHeight w:val="1595"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学风与职业道德建设</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18"/>
              </w:rPr>
            </w:pPr>
            <w:r>
              <w:rPr>
                <w:rFonts w:hint="eastAsia" w:ascii="宋体" w:hAnsi="宋体" w:eastAsia="宋体" w:cs="Times New Roman"/>
                <w:kern w:val="0"/>
                <w:sz w:val="20"/>
                <w:szCs w:val="18"/>
              </w:rPr>
              <w:t>负责动物营养与饲料科学二级学科学风建设、教师职业道德规范的宣传教育和监督管理工作。研究制定并采取相关措施，在动物营养与饲料科学学科营造积极向上、崇尚学术、勇于探索、追求真理、自由唯真的学术氛围，尽量降低教师和学生违反职业道德规范和学术不端行为发生的风险。</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lang w:eastAsia="zh-CN"/>
              </w:rPr>
            </w:pPr>
            <w:r>
              <w:rPr>
                <w:rFonts w:hint="eastAsia" w:ascii="宋体" w:hAnsi="宋体" w:cs="Times New Roman"/>
                <w:kern w:val="0"/>
                <w:sz w:val="20"/>
                <w:szCs w:val="18"/>
                <w:lang w:eastAsia="zh-CN"/>
              </w:rPr>
              <w:t>以身作则，恪守教师职业道德规范和学术规范，努力营造积极向上的学术氛围。聘妻内学科点未发生违反</w:t>
            </w:r>
            <w:r>
              <w:rPr>
                <w:rFonts w:hint="eastAsia" w:ascii="宋体" w:hAnsi="宋体" w:eastAsia="宋体" w:cs="Times New Roman"/>
                <w:kern w:val="0"/>
                <w:sz w:val="20"/>
                <w:szCs w:val="18"/>
              </w:rPr>
              <w:t>职业道德规范和学术不端行为</w:t>
            </w:r>
            <w:r>
              <w:rPr>
                <w:rFonts w:hint="eastAsia" w:ascii="宋体" w:hAnsi="宋体" w:cs="Times New Roman"/>
                <w:kern w:val="0"/>
                <w:sz w:val="20"/>
                <w:szCs w:val="18"/>
                <w:lang w:eastAsia="zh-CN"/>
              </w:rPr>
              <w:t>。</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4"/>
                <w:szCs w:val="24"/>
              </w:rPr>
              <w:t>无</w:t>
            </w:r>
          </w:p>
        </w:tc>
      </w:tr>
      <w:tr>
        <w:trPr>
          <w:trHeight w:val="155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学生教育</w:t>
            </w:r>
          </w:p>
          <w:p>
            <w:pPr>
              <w:jc w:val="center"/>
              <w:rPr>
                <w:rFonts w:ascii="宋体" w:hAnsi="宋体" w:eastAsia="宋体" w:cs="Times New Roman"/>
                <w:kern w:val="0"/>
                <w:sz w:val="24"/>
                <w:szCs w:val="24"/>
              </w:rPr>
            </w:pPr>
            <w:r>
              <w:rPr>
                <w:rFonts w:ascii="宋体" w:hAnsi="宋体" w:eastAsia="宋体" w:cs="Times New Roman"/>
                <w:kern w:val="0"/>
                <w:sz w:val="24"/>
                <w:szCs w:val="24"/>
              </w:rPr>
              <w:t>管理</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18"/>
              </w:rPr>
            </w:pPr>
            <w:r>
              <w:rPr>
                <w:rFonts w:hint="eastAsia" w:ascii="宋体" w:hAnsi="宋体" w:eastAsia="宋体" w:cs="Times New Roman"/>
                <w:kern w:val="0"/>
                <w:sz w:val="20"/>
                <w:szCs w:val="18"/>
              </w:rPr>
              <w:t>参与并积极带领动物营养与饲料科学学科教师从事学生思想政治教育与学生管理工作，在教学科研等工作中坚持学为人师、行为世范，以高尚的道德情操和社会主义核心价值观引领和培育学生健康成长。对毕业生的就业进行指导，帮助为学生了解就业需求，为学生提供就业信息。所指导研究生无重大责任事故发生，学生健康成长，品行优良。</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cs="Times New Roman"/>
                <w:kern w:val="0"/>
                <w:sz w:val="20"/>
                <w:szCs w:val="18"/>
                <w:lang w:eastAsia="zh-CN"/>
              </w:rPr>
              <w:t>聘期内毕业生就业率</w:t>
            </w:r>
            <w:r>
              <w:rPr>
                <w:rFonts w:hint="eastAsia" w:ascii="宋体" w:hAnsi="宋体" w:cs="Times New Roman"/>
                <w:kern w:val="0"/>
                <w:sz w:val="20"/>
                <w:szCs w:val="18"/>
                <w:lang w:val="en-US" w:eastAsia="zh-CN"/>
              </w:rPr>
              <w:t>100%，未发生重大责任事故。</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4"/>
                <w:szCs w:val="24"/>
              </w:rPr>
              <w:t>无</w:t>
            </w:r>
          </w:p>
        </w:tc>
      </w:tr>
      <w:tr>
        <w:trPr>
          <w:trHeight w:val="1281"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教学工作</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18"/>
              </w:rPr>
            </w:pPr>
            <w:r>
              <w:rPr>
                <w:rFonts w:hint="eastAsia" w:ascii="宋体" w:hAnsi="宋体" w:eastAsia="宋体" w:cs="Times New Roman"/>
                <w:kern w:val="0"/>
                <w:sz w:val="20"/>
                <w:szCs w:val="18"/>
              </w:rPr>
              <w:t>承担本科生教学和研究生培养工作，面向本科生讲授新生研讨课课程，每年不少于16学时；带领教师申报1项教学改革项目；推进《饲料学》精品课程建设，新编1本专业课教材。</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0"/>
                <w:szCs w:val="18"/>
              </w:rPr>
            </w:pPr>
            <w:r>
              <w:rPr>
                <w:rFonts w:hint="eastAsia" w:ascii="宋体" w:hAnsi="宋体" w:cs="Times New Roman"/>
                <w:kern w:val="0"/>
                <w:sz w:val="20"/>
                <w:szCs w:val="18"/>
                <w:lang w:eastAsia="zh-CN"/>
              </w:rPr>
              <w:t>完成了本科生教学工作量，带领教师申报</w:t>
            </w:r>
            <w:r>
              <w:rPr>
                <w:rFonts w:hint="eastAsia" w:ascii="宋体" w:hAnsi="宋体" w:cs="Times New Roman"/>
                <w:kern w:val="0"/>
                <w:sz w:val="20"/>
                <w:szCs w:val="18"/>
                <w:lang w:val="en-US" w:eastAsia="zh-CN"/>
              </w:rPr>
              <w:t>2项教学改革项目；推动了《饲料学》精品课程建设。</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4"/>
                <w:szCs w:val="24"/>
              </w:rPr>
              <w:t>无</w:t>
            </w:r>
          </w:p>
        </w:tc>
      </w:tr>
      <w:tr>
        <w:trPr>
          <w:trHeight w:val="1695"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人才培养</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18"/>
              </w:rPr>
            </w:pPr>
            <w:r>
              <w:rPr>
                <w:rFonts w:hint="eastAsia" w:ascii="宋体" w:hAnsi="宋体" w:eastAsia="宋体" w:cs="Times New Roman"/>
                <w:kern w:val="0"/>
                <w:sz w:val="20"/>
                <w:szCs w:val="18"/>
              </w:rPr>
              <w:t>负责组织动物营养与饲料科学学科人才培养目标和培养方案的制定和具体实施，提高本学科人才培养质量。聘期内，指导本科毕业生10名以上、硕士毕业生15名、博士毕业生10名、暑期社会实践学生5名；指导大学生课外学术、创业竞赛项目1项；指导大学生毕业论文或科技创新获得优秀成果1项，指导研究生获省级及以上优秀学位论文1项。</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0"/>
                <w:szCs w:val="18"/>
              </w:rPr>
            </w:pPr>
            <w:r>
              <w:rPr>
                <w:rFonts w:hint="eastAsia" w:ascii="宋体" w:hAnsi="宋体" w:eastAsia="宋体" w:cs="Times New Roman"/>
                <w:kern w:val="0"/>
                <w:sz w:val="20"/>
                <w:szCs w:val="18"/>
              </w:rPr>
              <w:t xml:space="preserve">完成。聘期内，指导本科毕业生10名以上，硕士毕业生14名，博士毕业生6名，指导大学生国创项目1项 </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4"/>
                <w:szCs w:val="24"/>
              </w:rPr>
              <w:t>无</w:t>
            </w:r>
          </w:p>
        </w:tc>
      </w:tr>
      <w:tr>
        <w:trPr>
          <w:trHeight w:val="3129"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ascii="宋体" w:hAnsi="宋体" w:eastAsia="宋体" w:cs="Times New Roman"/>
                <w:kern w:val="0"/>
                <w:sz w:val="24"/>
                <w:szCs w:val="24"/>
              </w:rPr>
              <w:t>科学研究</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18"/>
              </w:rPr>
            </w:pPr>
            <w:r>
              <w:rPr>
                <w:rFonts w:hint="eastAsia" w:ascii="宋体" w:hAnsi="宋体" w:eastAsia="宋体" w:cs="Times New Roman"/>
                <w:kern w:val="0"/>
                <w:sz w:val="20"/>
                <w:szCs w:val="18"/>
              </w:rPr>
              <w:t>负责动物营养与饲料科学科科学研究工作，形成稳定的研究方向，产生标志性或有影响力的科技成果。聘期内，以通讯或第一作者在本学科主流期刊发表论文，SCI论文累计IF不少于30.0，其中单篇IF大于的5.0论文不少于1篇，获得国家自然科学基金面上项目1项以上，获省部级及以上科研成果奖励1项；认真指导科研团队和中青年教师开展科研工作，团队获批不少于3项国家自然科学基金等国家项目。</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0"/>
                <w:szCs w:val="18"/>
              </w:rPr>
              <w:t>聘期内，以通讯作者在本学科主流期刊发表论文，SCI论文超过40篇，累积影响因子大于115，其中单篇大于5.0论文2篇。通过省部级成果鉴定2两项，并被认定国际领先。认真指导科研团队和中青年教师开展科研工作，团队获批2项国家自然科学基金等国家项目.</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4"/>
                <w:szCs w:val="24"/>
              </w:rPr>
              <w:t>无</w:t>
            </w:r>
          </w:p>
        </w:tc>
      </w:tr>
      <w:tr>
        <w:trPr>
          <w:trHeight w:val="2828"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学科与人才团队建设</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18"/>
              </w:rPr>
            </w:pPr>
            <w:r>
              <w:rPr>
                <w:rFonts w:hint="eastAsia" w:ascii="宋体" w:hAnsi="宋体" w:eastAsia="宋体" w:cs="Times New Roman"/>
                <w:kern w:val="0"/>
                <w:sz w:val="20"/>
                <w:szCs w:val="18"/>
              </w:rPr>
              <w:t>主持动物营养与饲料科学学科并积极参与畜牧学一级学科的学科规划、学科项目、学位点建设和评估工作，统筹人才队伍建设规划，落实人才培养和引进工作，建设高水平学科团队、科研基地（平台），完成学科规划目标。聘期内，完成湖北省自然科学基金创新团队的建设；负责为所在学科推荐并引进高层次人才不少于2人；指导青年教师魏宏逵、孙铝辉提高教学、科研能力；培养本学科学术骨干，力争至少有1人入选省部级及以上人才项目；带领并积极支持学科或团队成员开展高水平的国际交流与合作，聘期内50%以上成员至少参加1次及以上国际学术交流或科研合作。</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spacing w:after="45" w:line="300" w:lineRule="atLeast"/>
              <w:ind w:firstLine="0"/>
              <w:jc w:val="left"/>
              <w:rPr>
                <w:rFonts w:hint="default" w:ascii="Arial" w:hAnsi="宋体"/>
                <w:b w:val="0"/>
                <w:i w:val="0"/>
                <w:color w:val="333333"/>
                <w:sz w:val="24"/>
                <w:shd w:val="clear" w:color="auto" w:fill="FFFFFF"/>
              </w:rPr>
            </w:pPr>
            <w:r>
              <w:rPr>
                <w:rFonts w:hint="eastAsia" w:ascii="宋体" w:hAnsi="宋体" w:eastAsia="宋体" w:cs="Times New Roman"/>
                <w:kern w:val="0"/>
                <w:sz w:val="20"/>
                <w:szCs w:val="18"/>
              </w:rPr>
              <w:t>带领并积极支持学科或团队成员开展高水平的国际交流与合作，参加3次及国际学术交流或科研合作。</w:t>
            </w:r>
            <w:r>
              <w:rPr>
                <w:rFonts w:hint="eastAsia" w:ascii="宋体" w:hAnsi="宋体" w:cs="Times New Roman"/>
                <w:kern w:val="0"/>
                <w:sz w:val="20"/>
                <w:szCs w:val="18"/>
                <w:lang w:eastAsia="zh-CN"/>
              </w:rPr>
              <w:t>聘期内，青年教师魏宏逵和孙铝辉晋升副教授，黄飞若晋升教授，引进周忠新副教授，团队研究实力显著加强。湖北省自然科学创新团体项目、自主创新基金团队培育项目和重点实验室项目通过验收。</w:t>
            </w:r>
            <w:r>
              <w:rPr>
                <w:rFonts w:hint="eastAsia" w:ascii="宋体" w:hAnsi="宋体" w:cs="Times New Roman"/>
                <w:kern w:val="0"/>
                <w:sz w:val="20"/>
                <w:szCs w:val="18"/>
                <w:lang w:val="en-US" w:eastAsia="zh-CN"/>
              </w:rPr>
              <w:t>2016年学科点获批湖北省</w:t>
            </w:r>
            <w:r>
              <w:rPr>
                <w:rFonts w:hint="default" w:ascii="宋体" w:hAnsi="宋体" w:cs="Times New Roman"/>
                <w:color w:val="auto"/>
                <w:kern w:val="0"/>
                <w:sz w:val="20"/>
                <w:szCs w:val="18"/>
                <w:lang w:val="en-US" w:eastAsia="zh-CN"/>
              </w:rPr>
              <w:t>生猪精准饲养与饲料安全技术湖北省工程实验室</w:t>
            </w:r>
            <w:r>
              <w:rPr>
                <w:rFonts w:hint="eastAsia" w:ascii="宋体" w:hAnsi="宋体" w:cs="Times New Roman"/>
                <w:color w:val="auto"/>
                <w:kern w:val="0"/>
                <w:sz w:val="20"/>
                <w:szCs w:val="18"/>
                <w:lang w:val="en-US" w:eastAsia="zh-CN"/>
              </w:rPr>
              <w:t>。</w:t>
            </w:r>
            <w:bookmarkStart w:id="0" w:name="_GoBack"/>
            <w:bookmarkEnd w:id="0"/>
          </w:p>
          <w:p>
            <w:pPr>
              <w:rPr>
                <w:rFonts w:hint="eastAsia" w:ascii="宋体" w:hAnsi="宋体" w:eastAsia="宋体" w:cs="Times New Roman"/>
                <w:kern w:val="0"/>
                <w:sz w:val="24"/>
                <w:szCs w:val="24"/>
              </w:rPr>
            </w:pPr>
          </w:p>
        </w:tc>
        <w:tc>
          <w:tcPr>
            <w:tcW w:w="302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4"/>
                <w:szCs w:val="24"/>
              </w:rPr>
              <w:t>无</w:t>
            </w:r>
          </w:p>
        </w:tc>
      </w:tr>
      <w:tr>
        <w:trPr>
          <w:trHeight w:val="2419"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社会服务与公共服务</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18"/>
              </w:rPr>
            </w:pPr>
            <w:r>
              <w:rPr>
                <w:rFonts w:hint="eastAsia" w:ascii="宋体" w:hAnsi="宋体" w:eastAsia="宋体" w:cs="Times New Roman"/>
                <w:kern w:val="0"/>
                <w:sz w:val="20"/>
                <w:szCs w:val="18"/>
              </w:rPr>
              <w:t>积极参与学科、学院和学校组织的社会服务项目、以及学院组织的其他公共事务，关心集体，服务社会。每年为企业解决其生产中存在的问题或通过技术讲座的形式为企业提供最新的技术信息且帮助企业提高技术人员的业务能力2-3次。加强与企业的合作，争取建立多的学生实习和科研基地。取得良好的社会效应；不以任何方式拒绝或消极参与学院其他公共事务。</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0"/>
                <w:szCs w:val="18"/>
              </w:rPr>
              <w:t>完成。其中，每年为企业解决其生产中存在的问题或通过技术讲座的形式为企业提供最新的技术信息且帮助企业提高技术人员的业务能力大于3次，累计超过20次。</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4"/>
                <w:szCs w:val="24"/>
              </w:rPr>
            </w:pPr>
            <w:r>
              <w:rPr>
                <w:rFonts w:hint="eastAsia" w:ascii="宋体" w:hAnsi="宋体" w:eastAsia="宋体" w:cs="Times New Roman"/>
                <w:kern w:val="0"/>
                <w:sz w:val="24"/>
                <w:szCs w:val="24"/>
              </w:rPr>
              <w:t>无</w:t>
            </w:r>
          </w:p>
        </w:tc>
      </w:tr>
      <w:tr>
        <w:trPr>
          <w:trHeight w:val="719"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各级单位</w:t>
            </w:r>
          </w:p>
          <w:p>
            <w:pPr>
              <w:jc w:val="center"/>
              <w:rPr>
                <w:rFonts w:ascii="宋体" w:hAnsi="宋体" w:eastAsia="宋体" w:cs="Times New Roman"/>
                <w:kern w:val="0"/>
                <w:sz w:val="24"/>
                <w:szCs w:val="24"/>
              </w:rPr>
            </w:pPr>
            <w:r>
              <w:rPr>
                <w:rFonts w:ascii="宋体" w:hAnsi="宋体" w:eastAsia="宋体" w:cs="Times New Roman"/>
                <w:kern w:val="0"/>
                <w:sz w:val="24"/>
                <w:szCs w:val="24"/>
              </w:rPr>
              <w:t>审核意见</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ascii="宋体" w:hAnsi="宋体" w:eastAsia="宋体" w:cs="Times New Roman"/>
                <w:kern w:val="0"/>
                <w:sz w:val="24"/>
                <w:szCs w:val="24"/>
              </w:rPr>
              <w:t>系（教研室）</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学院（部）</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评估委员会</w:t>
            </w:r>
          </w:p>
        </w:tc>
      </w:tr>
      <w:tr>
        <w:trPr>
          <w:trHeight w:val="2107"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评估意见</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3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30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rPr>
          <w:trHeight w:val="2136"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后期工作</w:t>
            </w:r>
          </w:p>
          <w:p>
            <w:pPr>
              <w:jc w:val="center"/>
              <w:rPr>
                <w:rFonts w:ascii="宋体" w:hAnsi="宋体" w:eastAsia="宋体" w:cs="Times New Roman"/>
                <w:kern w:val="0"/>
                <w:sz w:val="24"/>
                <w:szCs w:val="24"/>
              </w:rPr>
            </w:pPr>
            <w:r>
              <w:rPr>
                <w:rFonts w:ascii="宋体" w:hAnsi="宋体" w:eastAsia="宋体" w:cs="Times New Roman"/>
                <w:kern w:val="0"/>
                <w:sz w:val="24"/>
                <w:szCs w:val="24"/>
              </w:rPr>
              <w:t>建议</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3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30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rPr>
          <w:trHeight w:val="2554"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负责人签名单位盖章</w:t>
            </w:r>
          </w:p>
        </w:tc>
        <w:tc>
          <w:tcPr>
            <w:tcW w:w="644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ascii="宋体" w:hAnsi="宋体" w:eastAsia="宋体" w:cs="Times New Roman"/>
                <w:kern w:val="0"/>
                <w:sz w:val="24"/>
                <w:szCs w:val="24"/>
              </w:rPr>
              <w:t>签名：</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日期：</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ascii="宋体" w:hAnsi="宋体" w:eastAsia="宋体" w:cs="Times New Roman"/>
                <w:kern w:val="0"/>
                <w:sz w:val="24"/>
                <w:szCs w:val="24"/>
              </w:rPr>
              <w:t>公章：</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日期：</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ascii="宋体" w:hAnsi="宋体" w:eastAsia="宋体" w:cs="Times New Roman"/>
                <w:kern w:val="0"/>
                <w:sz w:val="24"/>
                <w:szCs w:val="24"/>
              </w:rPr>
              <w:t>公章：</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日期：</w:t>
            </w:r>
          </w:p>
        </w:tc>
      </w:tr>
    </w:tbl>
    <w:p>
      <w:pPr>
        <w:rPr>
          <w:rFonts w:ascii="宋体" w:hAnsi="宋体"/>
          <w:sz w:val="24"/>
          <w:szCs w:val="24"/>
        </w:rPr>
      </w:pPr>
    </w:p>
    <w:sectPr>
      <w:pgSz w:w="16838" w:h="11906" w:orient="landscape"/>
      <w:pgMar w:top="1440" w:right="1800" w:bottom="1440" w:left="1800" w:header="851" w:footer="992" w:gutter="0"/>
      <w:cols w:space="425"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kern w:val="2"/>
      <w:sz w:val="21"/>
      <w:szCs w:val="22"/>
      <w:lang w:val="en-US" w:eastAsia="zh-CN" w:bidi="ar-SA"/>
    </w:rPr>
  </w:style>
  <w:style w:type="character" w:default="1" w:styleId="4">
    <w:name w:val="Default Paragraph Font"/>
  </w:style>
  <w:style w:type="paragraph" w:styleId="2">
    <w:name w:val="footer"/>
    <w:basedOn w:val="1"/>
    <w:link w:val="7"/>
    <w:pPr>
      <w:tabs>
        <w:tab w:val="center" w:pos="4153"/>
        <w:tab w:val="right" w:pos="8306"/>
      </w:tabs>
      <w:snapToGrid w:val="0"/>
      <w:jc w:val="left"/>
    </w:pPr>
    <w:rPr>
      <w:sz w:val="18"/>
      <w:szCs w:val="18"/>
    </w:rPr>
  </w:style>
  <w:style w:type="paragraph" w:styleId="3">
    <w:name w:val="header"/>
    <w:basedOn w:val="1"/>
    <w:link w:val="6"/>
    <w:pPr>
      <w:pBdr>
        <w:bottom w:val="single" w:color="auto" w:sz="6" w:space="1"/>
      </w:pBdr>
      <w:tabs>
        <w:tab w:val="center" w:pos="4153"/>
        <w:tab w:val="right" w:pos="8306"/>
      </w:tabs>
      <w:snapToGrid w:val="0"/>
      <w:jc w:val="center"/>
    </w:pPr>
    <w:rPr>
      <w:sz w:val="18"/>
      <w:szCs w:val="18"/>
    </w:rPr>
  </w:style>
  <w:style w:type="character" w:styleId="5">
    <w:name w:val="Hyperlink"/>
    <w:basedOn w:val="4"/>
    <w:rPr>
      <w:color w:val="0000FF"/>
      <w:u w:val="single"/>
    </w:rPr>
  </w:style>
  <w:style w:type="character" w:customStyle="1" w:styleId="6">
    <w:name w:val="页眉字符"/>
    <w:basedOn w:val="4"/>
    <w:link w:val="3"/>
    <w:semiHidden/>
    <w:rPr>
      <w:sz w:val="18"/>
      <w:szCs w:val="18"/>
    </w:rPr>
  </w:style>
  <w:style w:type="character" w:customStyle="1" w:styleId="7">
    <w:name w:val="页脚字符"/>
    <w:basedOn w:val="4"/>
    <w:link w:val="2"/>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260</Words>
  <Characters>1483</Characters>
  <Lines>12</Lines>
  <Paragraphs>3</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2017-04-12T11:29:00Z</dcterms:created>
  <dc:creator>微软用户</dc:creator>
  <dcterms:modified xsi:type="dcterms:W3CDTF">2017-04-27T15:44:39Z</dcterms:modified>
  <dc:title>Tongxing Song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