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华中农业大学教师岗位聘任中期评估表</w:t>
      </w:r>
    </w:p>
    <w:p>
      <w:pPr>
        <w:spacing w:after="0"/>
        <w:jc w:val="center"/>
        <w:rPr>
          <w:rFonts w:ascii="Times New Roman" w:hAnsi="Times New Roman" w:eastAsia="FangSong_GB2312" w:cs="Times New Roman"/>
          <w:sz w:val="28"/>
          <w:szCs w:val="28"/>
        </w:rPr>
      </w:pPr>
    </w:p>
    <w:p>
      <w:pPr>
        <w:spacing w:after="120" w:afterLines="50"/>
        <w:rPr>
          <w:rFonts w:ascii="Times New Roman" w:hAnsi="Times New Roman" w:eastAsia="FangSong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FangSong_GB2312" w:cs="Times New Roman"/>
          <w:sz w:val="24"/>
          <w:szCs w:val="24"/>
        </w:rPr>
        <w:t>：</w:t>
      </w:r>
    </w:p>
    <w:tbl>
      <w:tblPr>
        <w:tblStyle w:val="11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844"/>
        <w:gridCol w:w="99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郝海红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动物医学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1、本人严格恪守教师职业道德规范，积极参与学风建设、宣传、监督管理工作；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2、学风端正，个人和学生无违反职业道德规范和学术不端行为发生。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本人将继续恪守教师职业道德规范，积极参与学风建设、宣传、监督管理工作、端正学风。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参与学生思想政治教育与学生管理工作，在教学科研等工作中坚持学为人师、行为世范，以高尚的道德情操和社会主义核心价值观引领和培育学生健康成长。聘期内，担任一届动物科学和动物医学专业本科班班主任，所带班级和所指导研究生无重大责任事故发生，学生健康成长，品行优良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1.本人积极参与学生思想政治教育与学生管理工作，在教学科研等工作中坚持学为人师、行为世范，以高尚的道德情操和社会主义核心价值观引领和培育学生健康成长。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2.聘期内担任2010级动物医学6班班主任，该班级已经与2015年6月顺利毕业。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班级内3名外保研究生，6名内保研究，3名考上公务员，其余同学或自考研究生或工作。学生健康成长，品行优良。本人因此获得“毕业生就业指导工作先进个人”。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本人将一如既往，积极参与学生思想政治教育与学生管理工作，为培养优秀大学生而努力奋斗。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承担本科生教学和研究生培养工作，面向本科生讲授《兽医药理学》课程，并承担《高级药理学》研究生课程，教学效果良好，学生评教位无位于同职称教师后10% 记录；积极参与并推进《兽医药理学》精品课程建设；至少参与 1项教学改革项目。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1、每年秋季面向本科生讲授了《兽医药理学》课程；教学效果良好，学生评教位于同职称教师的前列，无后10%记录。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2、每年面向研究生讲授《基础兽医学进展》、《基础兽医方法学》、《高级药理学》和《兽医公共卫生》。教学效果良好。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3、作为湖北省精品课程《兽医药理学》的主要负责人，积极推进该精品课程的网络化，完成了课程的全程录像和网络开放课程建设。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4、主持了1项创新性实验教学项目《抗菌药耐药性检测技</w:t>
            </w:r>
            <w:bookmarkStart w:id="0" w:name="_GoBack"/>
            <w:bookmarkEnd w:id="0"/>
            <w:r>
              <w:rPr>
                <w:rFonts w:hint="eastAsia" w:ascii="长城仿宋" w:eastAsia="长城仿宋"/>
                <w:bCs/>
                <w:sz w:val="24"/>
              </w:rPr>
              <w:t>术》，于2014和2015年暑期开课，效果良好。</w:t>
            </w:r>
          </w:p>
          <w:p>
            <w:pPr>
              <w:spacing w:after="0"/>
              <w:rPr>
                <w:rFonts w:hint="eastAsia"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5、主持了1项《兽医药理学》PPT专项项目；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6、参与了《兽医药理学》翻转课程建设和《兽医毒理学》PPT专项，对《兽医药理学》教学方法进行了深入探讨。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将针对教学中的不足进行改进，积极改进教学方式方法，提高《兽医药理学》教学水平；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尝试《兽医药理学》英文教学；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增设《兽医药理学》相关的辅助选修课程，引入学科新发现，与时俱进促进该课程的内容更新。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参与基础兽医学科人才培养目标和培养方案的制定和具体实施，提高本学科人才培养质量。聘期内，至少指导本科毕业生20名、硕士毕业生3名；至少指导暑期社会实践学生5名；指导至少学校大学生科技创新SRF项目1 项。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1、指导本科毕业论文30多名；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2、协助指导博士毕业生3名，硕士毕业生8名；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3、直接指导硕士研究生3名，尚未毕业；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指导暑假社会实践学生8名；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4、指导大学生科技创新SRF项目2项。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继续指导本科毕业论文以及相关研究生，培养优秀的专业人才。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从事 兽医药理学与毒理学 方向科学研究，参与细菌对抗菌药的耐药性 科研团队，并产生标志性或有影响力的科技成果。聘期内，以第一作者在本学科主流期刊发表论文，其中SCI收录论文不少于3篇、CSCD来源刊物发表论文不少于2篇; 完成国家自然科学基金青年基金项目，并新获批国家自然科学基金项目不少于1项。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1、以第1作者或通讯作者发表SCI论文13篇，其中最高影响因子5.4，累计影响因子50多；以第1作者发表</w:t>
            </w:r>
            <w:r>
              <w:rPr>
                <w:rFonts w:ascii="长城仿宋" w:eastAsia="长城仿宋"/>
                <w:bCs/>
                <w:sz w:val="24"/>
              </w:rPr>
              <w:t>CSCD</w:t>
            </w:r>
            <w:r>
              <w:rPr>
                <w:rFonts w:hint="eastAsia" w:ascii="长城仿宋" w:eastAsia="长城仿宋"/>
                <w:bCs/>
                <w:sz w:val="24"/>
              </w:rPr>
              <w:t>论文1篇；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2、主持国家重大研发专项子课题1项；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3、主持武汉市晨光计划项目1项；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4、主持华中农业大学自主创新基金1项。</w:t>
            </w:r>
          </w:p>
          <w:p>
            <w:pPr>
              <w:spacing w:after="0"/>
              <w:rPr>
                <w:rFonts w:hint="eastAsia"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5、完成了国家自然科学基金青年基金、博士点新教师基金等项目的结题。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文章发表任务基本完成，后期将继续完成相关课题的论文发表计划，争取发表有突出性成果的好文章。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在国家自然科学基金方面，因2014和2015年申报基金未中，2016年停1年，希望2017年基金能中。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积极参与动物医学学科的学科规划、学科项目建设和评估工作，推进基础兽医专业高等学校“专业综合改革试点”项目建设，参与完成兽医药理与毒理学专业研究生培养方案修订工作。作为“兽医药理学和毒理学”团队成员，积极承担团队研究工作，指导青年教师开展科学研究，加强团队建设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1、本人积极参与动物医学学科的学科规划、学科项目建设和评估工作，推进基础兽医专业高等学校“专业综合改革试点”项目建设；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2、参与完成《兽医药理学》与《兽医毒理学》专业本科生和研究生培养方案修订工作。作为“兽医药理学和毒理学”团队成员，积极承担团队研究工作，指导青年教师开展科学研究，加强团队建设。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本人将一如既往，继续积极参与学科建设和团队建设，为兽药科学系的建设添砖加瓦。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积极参与学科、学院和学校组织的社会服务项目、以及学院组织的其他公共事务，关心集体，服务社会。积极参与实验室对外服务和养殖场临床用药指导。不以任何方式拒绝或消极参与学院其他公共事务。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1、本人积极参与学科、学院和学校组织的社会服务项目、以及学院组织的其他公共事务；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2、积极参与实验室仪器设备（如基因测序仪、荧光定量PCR仪、生物发酵罐、常规PCR仪、超低温冰箱等）管理及实验室对外服务；</w:t>
            </w:r>
          </w:p>
          <w:p>
            <w:pPr>
              <w:spacing w:after="0"/>
              <w:rPr>
                <w:rFonts w:ascii="长城仿宋" w:eastAsia="长城仿宋"/>
                <w:bCs/>
                <w:sz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3、积极参与校企联合，协助袁老师组建抗生素联盟；积极参与基地建设，应用专业特色知道临场合理用药，避免耐药性产生。</w:t>
            </w:r>
          </w:p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长城仿宋" w:eastAsia="长城仿宋"/>
                <w:bCs/>
                <w:sz w:val="24"/>
              </w:rPr>
              <w:t>本人将再接再励，积极推动校企联合和基地建设，将科学技术转化为生产力，促进临床合理用药和避免细菌耐药性产生。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该同志在聘期内爱岗敬业，认真工作，达到聘期考核目标，部分指标甚至超额完成，考评合格。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建议该同志在后期工作中进一步严格要求自己，争取更多的科研项目，发表更多高水平的科研论文。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3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FangSong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140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7960"/>
    <w:rsid w:val="00033A43"/>
    <w:rsid w:val="000440BB"/>
    <w:rsid w:val="00046009"/>
    <w:rsid w:val="000568C2"/>
    <w:rsid w:val="00067247"/>
    <w:rsid w:val="000816E1"/>
    <w:rsid w:val="0009280E"/>
    <w:rsid w:val="000C06E2"/>
    <w:rsid w:val="000D1792"/>
    <w:rsid w:val="000F4818"/>
    <w:rsid w:val="00106CDD"/>
    <w:rsid w:val="00113AF8"/>
    <w:rsid w:val="001153CF"/>
    <w:rsid w:val="00124621"/>
    <w:rsid w:val="00177DC2"/>
    <w:rsid w:val="00180685"/>
    <w:rsid w:val="00183D89"/>
    <w:rsid w:val="0018414E"/>
    <w:rsid w:val="0018420D"/>
    <w:rsid w:val="00191521"/>
    <w:rsid w:val="00195F28"/>
    <w:rsid w:val="001A7912"/>
    <w:rsid w:val="001C67AE"/>
    <w:rsid w:val="001D558D"/>
    <w:rsid w:val="001E192B"/>
    <w:rsid w:val="001E524C"/>
    <w:rsid w:val="0020125A"/>
    <w:rsid w:val="002025D2"/>
    <w:rsid w:val="00202DF0"/>
    <w:rsid w:val="0020695D"/>
    <w:rsid w:val="00213A6E"/>
    <w:rsid w:val="00214D70"/>
    <w:rsid w:val="002404DB"/>
    <w:rsid w:val="0029409F"/>
    <w:rsid w:val="00294E84"/>
    <w:rsid w:val="002B20DB"/>
    <w:rsid w:val="002B231A"/>
    <w:rsid w:val="002B70B9"/>
    <w:rsid w:val="002B7544"/>
    <w:rsid w:val="002C65B3"/>
    <w:rsid w:val="002D7A1D"/>
    <w:rsid w:val="0030535B"/>
    <w:rsid w:val="0031600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6372"/>
    <w:rsid w:val="0039640A"/>
    <w:rsid w:val="003A16E3"/>
    <w:rsid w:val="003B1193"/>
    <w:rsid w:val="003D37D8"/>
    <w:rsid w:val="003E2A3C"/>
    <w:rsid w:val="00411227"/>
    <w:rsid w:val="00426133"/>
    <w:rsid w:val="004358AB"/>
    <w:rsid w:val="004400E4"/>
    <w:rsid w:val="0047622C"/>
    <w:rsid w:val="004D1925"/>
    <w:rsid w:val="004F4AA2"/>
    <w:rsid w:val="005252D7"/>
    <w:rsid w:val="005301EE"/>
    <w:rsid w:val="005543EE"/>
    <w:rsid w:val="00554B25"/>
    <w:rsid w:val="00556DCA"/>
    <w:rsid w:val="005A5472"/>
    <w:rsid w:val="005B0027"/>
    <w:rsid w:val="005B27F5"/>
    <w:rsid w:val="005B466F"/>
    <w:rsid w:val="005B573E"/>
    <w:rsid w:val="005D4CA0"/>
    <w:rsid w:val="005D53F1"/>
    <w:rsid w:val="005F5607"/>
    <w:rsid w:val="00600AF5"/>
    <w:rsid w:val="00605A33"/>
    <w:rsid w:val="00610004"/>
    <w:rsid w:val="0063541C"/>
    <w:rsid w:val="0065723C"/>
    <w:rsid w:val="006B2106"/>
    <w:rsid w:val="006C4AE5"/>
    <w:rsid w:val="006F340D"/>
    <w:rsid w:val="00700DAA"/>
    <w:rsid w:val="0070619E"/>
    <w:rsid w:val="00722225"/>
    <w:rsid w:val="00724482"/>
    <w:rsid w:val="00724931"/>
    <w:rsid w:val="00730A5E"/>
    <w:rsid w:val="00750A46"/>
    <w:rsid w:val="00752AA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01E06"/>
    <w:rsid w:val="00810FD8"/>
    <w:rsid w:val="00850E44"/>
    <w:rsid w:val="00851ECA"/>
    <w:rsid w:val="008532C9"/>
    <w:rsid w:val="00856436"/>
    <w:rsid w:val="00887CA3"/>
    <w:rsid w:val="008A65A2"/>
    <w:rsid w:val="008A694A"/>
    <w:rsid w:val="008B561E"/>
    <w:rsid w:val="008B70D7"/>
    <w:rsid w:val="008B7726"/>
    <w:rsid w:val="008C7503"/>
    <w:rsid w:val="008D6781"/>
    <w:rsid w:val="008E369A"/>
    <w:rsid w:val="008E6400"/>
    <w:rsid w:val="00900A9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51FB"/>
    <w:rsid w:val="00A12DE4"/>
    <w:rsid w:val="00A1544F"/>
    <w:rsid w:val="00A7214B"/>
    <w:rsid w:val="00A72407"/>
    <w:rsid w:val="00A83680"/>
    <w:rsid w:val="00AA3636"/>
    <w:rsid w:val="00AD11A7"/>
    <w:rsid w:val="00AD2AEB"/>
    <w:rsid w:val="00AF05C0"/>
    <w:rsid w:val="00AF211B"/>
    <w:rsid w:val="00B12593"/>
    <w:rsid w:val="00B14AE2"/>
    <w:rsid w:val="00B25A19"/>
    <w:rsid w:val="00B37B77"/>
    <w:rsid w:val="00B47A84"/>
    <w:rsid w:val="00B57951"/>
    <w:rsid w:val="00B66335"/>
    <w:rsid w:val="00B71D8A"/>
    <w:rsid w:val="00B8321A"/>
    <w:rsid w:val="00B87BAE"/>
    <w:rsid w:val="00BD070A"/>
    <w:rsid w:val="00C309E8"/>
    <w:rsid w:val="00C610E0"/>
    <w:rsid w:val="00C6725F"/>
    <w:rsid w:val="00C74A45"/>
    <w:rsid w:val="00C81602"/>
    <w:rsid w:val="00C92526"/>
    <w:rsid w:val="00C96EAC"/>
    <w:rsid w:val="00CB0304"/>
    <w:rsid w:val="00CB31FF"/>
    <w:rsid w:val="00D27322"/>
    <w:rsid w:val="00D31D50"/>
    <w:rsid w:val="00D3745F"/>
    <w:rsid w:val="00D80CB3"/>
    <w:rsid w:val="00D84BDA"/>
    <w:rsid w:val="00D917B8"/>
    <w:rsid w:val="00DA00C9"/>
    <w:rsid w:val="00DA3AD7"/>
    <w:rsid w:val="00DA69F1"/>
    <w:rsid w:val="00DE2CC4"/>
    <w:rsid w:val="00DE6EDD"/>
    <w:rsid w:val="00E05518"/>
    <w:rsid w:val="00E14AA5"/>
    <w:rsid w:val="00E14FA8"/>
    <w:rsid w:val="00E2280A"/>
    <w:rsid w:val="00E33017"/>
    <w:rsid w:val="00E34565"/>
    <w:rsid w:val="00E3505D"/>
    <w:rsid w:val="00E36A61"/>
    <w:rsid w:val="00E76F86"/>
    <w:rsid w:val="00EC7F16"/>
    <w:rsid w:val="00F06DA6"/>
    <w:rsid w:val="00F2459E"/>
    <w:rsid w:val="00F27B1E"/>
    <w:rsid w:val="00F35923"/>
    <w:rsid w:val="00F43F15"/>
    <w:rsid w:val="00F53ED9"/>
    <w:rsid w:val="00F549B6"/>
    <w:rsid w:val="00F71E38"/>
    <w:rsid w:val="00FC3AB4"/>
    <w:rsid w:val="00FD141D"/>
    <w:rsid w:val="00FD1A27"/>
    <w:rsid w:val="00FE6CB5"/>
    <w:rsid w:val="00FF1829"/>
    <w:rsid w:val="00FF6AA4"/>
    <w:rsid w:val="326C52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</w:style>
  <w:style w:type="paragraph" w:styleId="4">
    <w:name w:val="List 2"/>
    <w:basedOn w:val="1"/>
    <w:qFormat/>
    <w:uiPriority w:val="0"/>
    <w:pPr>
      <w:widowControl w:val="0"/>
      <w:adjustRightInd/>
      <w:snapToGrid/>
      <w:spacing w:after="0"/>
      <w:ind w:left="1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4"/>
    <w:unhideWhenUsed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8"/>
    <w:link w:val="7"/>
    <w:uiPriority w:val="99"/>
    <w:rPr>
      <w:rFonts w:ascii="Tahoma" w:hAnsi="Tahoma"/>
      <w:sz w:val="18"/>
      <w:szCs w:val="18"/>
    </w:rPr>
  </w:style>
  <w:style w:type="character" w:customStyle="1" w:styleId="13">
    <w:name w:val="Footer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Balloon Text Char"/>
    <w:basedOn w:val="8"/>
    <w:link w:val="5"/>
    <w:semiHidden/>
    <w:uiPriority w:val="99"/>
    <w:rPr>
      <w:rFonts w:ascii="Tahoma" w:hAnsi="Tahoma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omment Text Char"/>
    <w:basedOn w:val="8"/>
    <w:link w:val="3"/>
    <w:semiHidden/>
    <w:uiPriority w:val="99"/>
    <w:rPr>
      <w:rFonts w:ascii="Tahoma" w:hAnsi="Tahoma"/>
    </w:rPr>
  </w:style>
  <w:style w:type="character" w:customStyle="1" w:styleId="17">
    <w:name w:val="Comment Subject Char"/>
    <w:basedOn w:val="16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392</Words>
  <Characters>2237</Characters>
  <Lines>18</Lines>
  <Paragraphs>5</Paragraphs>
  <TotalTime>0</TotalTime>
  <ScaleCrop>false</ScaleCrop>
  <LinksUpToDate>false</LinksUpToDate>
  <CharactersWithSpaces>2624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Administrator</cp:lastModifiedBy>
  <cp:lastPrinted>2017-04-26T05:08:21Z</cp:lastPrinted>
  <dcterms:modified xsi:type="dcterms:W3CDTF">2017-04-26T05:13:55Z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