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附</w:t>
      </w:r>
      <w:r>
        <w:rPr>
          <w:rFonts w:hint="eastAsia" w:ascii="Times New Roman" w:hAnsi="Times New Roman" w:eastAsia="方正小标宋简体" w:cs="Times New Roman"/>
          <w:sz w:val="32"/>
          <w:szCs w:val="32"/>
        </w:rPr>
        <w:t>件二</w:t>
      </w:r>
      <w:r>
        <w:rPr>
          <w:rFonts w:ascii="Times New Roman" w:hAnsi="Times New Roman" w:eastAsia="方正小标宋简体" w:cs="Times New Roman"/>
          <w:sz w:val="32"/>
          <w:szCs w:val="32"/>
        </w:rPr>
        <w:t>：华中农业大学教师岗位聘任中期评估表</w:t>
      </w:r>
    </w:p>
    <w:p>
      <w:pPr>
        <w:spacing w:after="0"/>
        <w:jc w:val="center"/>
        <w:rPr>
          <w:rFonts w:ascii="Times New Roman" w:hAnsi="Times New Roman" w:eastAsia="仿宋_GB2312" w:cs="Times New Roman"/>
          <w:sz w:val="28"/>
          <w:szCs w:val="28"/>
        </w:rPr>
      </w:pPr>
    </w:p>
    <w:p>
      <w:pPr>
        <w:spacing w:afterLines="50"/>
        <w:rPr>
          <w:rFonts w:ascii="Times New Roman" w:hAnsi="Times New Roman" w:eastAsia="仿宋_GB2312" w:cs="Times New Roman"/>
          <w:sz w:val="24"/>
          <w:szCs w:val="24"/>
        </w:rPr>
      </w:pPr>
      <w:r>
        <w:rPr>
          <w:rFonts w:ascii="Times New Roman" w:hAnsi="黑体" w:eastAsia="黑体" w:cs="Times New Roman"/>
          <w:sz w:val="24"/>
          <w:szCs w:val="24"/>
        </w:rPr>
        <w:t>学院</w:t>
      </w:r>
      <w:r>
        <w:rPr>
          <w:rFonts w:ascii="Times New Roman" w:hAnsi="Times New Roman" w:eastAsia="仿宋_GB2312" w:cs="Times New Roman"/>
          <w:sz w:val="24"/>
          <w:szCs w:val="24"/>
        </w:rPr>
        <w:t>：</w:t>
      </w:r>
    </w:p>
    <w:tbl>
      <w:tblPr>
        <w:tblStyle w:val="10"/>
        <w:tblW w:w="149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455"/>
        <w:gridCol w:w="963"/>
        <w:gridCol w:w="1276"/>
        <w:gridCol w:w="1559"/>
        <w:gridCol w:w="584"/>
        <w:gridCol w:w="1259"/>
        <w:gridCol w:w="2976"/>
        <w:gridCol w:w="773"/>
        <w:gridCol w:w="107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exac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姓名</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龚炎长</w:t>
            </w:r>
          </w:p>
        </w:tc>
        <w:tc>
          <w:tcPr>
            <w:tcW w:w="127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岗位级别</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教师三级岗</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所属一级学科</w:t>
            </w:r>
          </w:p>
        </w:tc>
        <w:tc>
          <w:tcPr>
            <w:tcW w:w="2976"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畜牧学</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所属二级学科</w:t>
            </w:r>
          </w:p>
        </w:tc>
        <w:tc>
          <w:tcPr>
            <w:tcW w:w="2977"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动物生产与畜牧工程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4927" w:type="dxa"/>
            <w:gridSpan w:val="11"/>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自我评估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项目</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聘任协议书约定的岗位职责与工作目标</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中期完成情况</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存在问题与改进计划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0"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学风与职业道德建设</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负责动物生产与畜牧工程二级学科学风建设、教师职业道德规范的宣传教育监督管理工作。研究制定并采取相关措施，营造积极向上、崇尚学术、勇于探索、追求真理、自由唯真的氛围。动物生产与畜牧工程学科学风端正、教师和学生无违反职业道德规范和学术不端行为发生。</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按要求进行本学科学风建设和教师职业道德规范的教育与监督管理，动物生产与畜牧工程学科目前学风端正、教师和学生</w:t>
            </w:r>
            <w:r>
              <w:rPr>
                <w:rFonts w:hint="eastAsia" w:ascii="Times New Roman" w:hAnsi="Times New Roman" w:eastAsia="仿宋" w:cs="Times New Roman"/>
                <w:sz w:val="24"/>
                <w:szCs w:val="24"/>
                <w:lang w:val="en-US" w:eastAsia="zh-CN"/>
              </w:rPr>
              <w:t>无</w:t>
            </w:r>
            <w:r>
              <w:rPr>
                <w:rFonts w:hint="eastAsia" w:ascii="Times New Roman" w:hAnsi="Times New Roman" w:eastAsia="仿宋" w:cs="Times New Roman"/>
                <w:sz w:val="24"/>
                <w:szCs w:val="24"/>
                <w:lang w:eastAsia="zh-CN"/>
              </w:rPr>
              <w:t>违反职业道德和学术不端行为发生。</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3"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学生教育</w:t>
            </w:r>
          </w:p>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管理</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参与并积极带领动物生产与畜牧工程学科教师从事学生思想政治教育与学生管理工作，在教学科研等工作中坚持学为人师、行为示范，以高尚的道德情操和社会主义核心价值观引领和培育学生健康成长。</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积极带领本学科教师从事学生思想政治教育与管理，</w:t>
            </w:r>
            <w:r>
              <w:rPr>
                <w:rFonts w:hint="eastAsia" w:ascii="Times New Roman" w:hAnsi="Times New Roman" w:eastAsia="仿宋" w:cs="Times New Roman"/>
                <w:sz w:val="24"/>
                <w:szCs w:val="24"/>
                <w:lang w:val="en-US" w:eastAsia="zh-CN"/>
              </w:rPr>
              <w:t>在工作中</w:t>
            </w:r>
            <w:r>
              <w:rPr>
                <w:rFonts w:hint="eastAsia" w:ascii="Times New Roman" w:hAnsi="Times New Roman" w:eastAsia="仿宋" w:cs="Times New Roman"/>
                <w:sz w:val="24"/>
                <w:szCs w:val="24"/>
                <w:lang w:eastAsia="zh-CN"/>
              </w:rPr>
              <w:t>坚持以身示范、从积极层面引导学生，促进学生树立社会主义核心价值观、</w:t>
            </w:r>
            <w:r>
              <w:rPr>
                <w:rFonts w:hint="eastAsia" w:ascii="Times New Roman" w:hAnsi="Times New Roman" w:eastAsia="仿宋" w:cs="Times New Roman"/>
                <w:sz w:val="24"/>
                <w:szCs w:val="24"/>
                <w:lang w:val="en-US" w:eastAsia="zh-CN"/>
              </w:rPr>
              <w:t>积极向上、道德高尚</w:t>
            </w:r>
            <w:r>
              <w:rPr>
                <w:rFonts w:hint="eastAsia" w:ascii="Times New Roman" w:hAnsi="Times New Roman" w:eastAsia="仿宋" w:cs="Times New Roman"/>
                <w:sz w:val="24"/>
                <w:szCs w:val="24"/>
                <w:lang w:eastAsia="zh-CN"/>
              </w:rPr>
              <w:t>。</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4"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教学工作</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承担本科生和研究生培养工作，面向本科生讲授《家禽生产学》课程，每年不少于30学时；为动物遗传育种与繁殖专业硕士研究生讲授《动物数量遗传学》、《家禽育种专题》，每年不少于48学时，教学效果良好。</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2014-2016年，每年承担动物科学专业本科生《家禽生产学》课程（32学时）、动物遗传育种与繁殖专业硕士生《动物数量遗传学》48学时及硕士生《动物科技进展》专题讲座1次。2014与2016年还承担硕士生《家禽育种专题》课程（32学时）。教学效果良好。</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1"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人才培养</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负责组织动物生产与畜牧工程学科人才培养目标和培养方案的制定和具体实施，提高本学科人才培养质量。聘期内，指导本科毕业生20名、硕士毕业生10名、博士毕业生4-5名。</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2014年主持制定了动物生产与畜牧工程学科人才培养目标和培养方案并组织具体实施。2014-2016年共指导本科毕业生16人，毕业硕士生12人，毕业博士生3人。</w:t>
            </w:r>
            <w:bookmarkStart w:id="0" w:name="_GoBack"/>
            <w:bookmarkEnd w:id="0"/>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3"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科学研究</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负责动物生产与畜牧工程学科家禽遗传改良与生产领域的科学研究工作，形成稳定的研究方向，产生标志性或有影响的科技成果。聘期内，以第一作者或通讯作者在本学科主流期刊发表论文，SCI论文累计IF不少于10.0，其中单篇IF大于3.0的论文不少于1篇（或单篇IF大于2.0的论文不少于2篇）；认真指导科研团队和中青年教师开展科研工作，团队获批不少于2项国家自然科学基金等国家项目。</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主要从事家禽遗传改良与生产方面的科学研究，已形成相对稳定的研究方向，2014-2016年取得的科研成果如下：</w:t>
            </w:r>
          </w:p>
          <w:p>
            <w:pPr>
              <w:numPr>
                <w:ilvl w:val="0"/>
                <w:numId w:val="0"/>
              </w:numPr>
              <w:spacing w:line="240" w:lineRule="auto"/>
              <w:rPr>
                <w:rFonts w:hint="eastAsia" w:ascii="仿宋" w:hAnsi="仿宋" w:eastAsia="仿宋" w:cs="仿宋"/>
                <w:color w:val="000000"/>
                <w:sz w:val="24"/>
                <w:szCs w:val="24"/>
                <w:lang w:val="en-US" w:eastAsia="zh-CN"/>
              </w:rPr>
            </w:pPr>
            <w:r>
              <w:rPr>
                <w:rFonts w:hint="eastAsia" w:ascii="Times New Roman" w:hAnsi="Times New Roman" w:eastAsia="仿宋" w:cs="Times New Roman"/>
                <w:sz w:val="24"/>
                <w:szCs w:val="24"/>
                <w:lang w:val="en-US" w:eastAsia="zh-CN"/>
              </w:rPr>
              <w:t>1</w:t>
            </w:r>
            <w:r>
              <w:rPr>
                <w:rFonts w:hint="eastAsia" w:ascii="仿宋" w:hAnsi="仿宋" w:eastAsia="仿宋" w:cs="仿宋"/>
                <w:sz w:val="24"/>
                <w:szCs w:val="24"/>
                <w:lang w:val="en-US" w:eastAsia="zh-CN"/>
              </w:rPr>
              <w:t>、</w:t>
            </w:r>
            <w:r>
              <w:rPr>
                <w:rFonts w:hint="eastAsia" w:ascii="仿宋" w:hAnsi="仿宋" w:eastAsia="仿宋" w:cs="仿宋"/>
                <w:color w:val="000000"/>
                <w:sz w:val="24"/>
                <w:szCs w:val="24"/>
                <w:lang w:val="en-US" w:eastAsia="zh-CN"/>
              </w:rPr>
              <w:t>2016年“欣华2号蛋鸡配套系”通过国家畜禽遗传资源委员会审定（（农09）新品种证字第73号）；本人为技术负责人，排名第一，团队成员均参与其中。</w:t>
            </w:r>
          </w:p>
          <w:p>
            <w:pPr>
              <w:numPr>
                <w:ilvl w:val="0"/>
                <w:numId w:val="0"/>
              </w:numPr>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2、2016年“规模化生态养鸡‘553’养殖技术示范推广”获湖北省科技成果推广三等奖（排名第五）。</w:t>
            </w:r>
          </w:p>
          <w:p>
            <w:pPr>
              <w:numPr>
                <w:ilvl w:val="0"/>
                <w:numId w:val="0"/>
              </w:numPr>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3、2014-2016年以通讯作者发表SCI收录论文4篇，其中</w:t>
            </w:r>
            <w:r>
              <w:rPr>
                <w:rFonts w:hint="eastAsia" w:ascii="仿宋" w:hAnsi="仿宋" w:eastAsia="仿宋" w:cs="仿宋"/>
                <w:sz w:val="24"/>
                <w:szCs w:val="24"/>
                <w:lang w:val="en-US" w:eastAsia="zh-CN"/>
              </w:rPr>
              <w:t>IF</w:t>
            </w:r>
            <w:r>
              <w:rPr>
                <w:rFonts w:hint="eastAsia" w:ascii="仿宋" w:hAnsi="仿宋" w:eastAsia="仿宋" w:cs="仿宋"/>
                <w:color w:val="000000"/>
                <w:sz w:val="24"/>
                <w:szCs w:val="24"/>
                <w:lang w:val="en-US" w:eastAsia="zh-CN"/>
              </w:rPr>
              <w:t>3.0以上两篇，累计</w:t>
            </w:r>
            <w:r>
              <w:rPr>
                <w:rFonts w:hint="eastAsia" w:ascii="仿宋" w:hAnsi="仿宋" w:eastAsia="仿宋" w:cs="仿宋"/>
                <w:sz w:val="24"/>
                <w:szCs w:val="24"/>
                <w:lang w:val="en-US" w:eastAsia="zh-CN"/>
              </w:rPr>
              <w:t>IF</w:t>
            </w:r>
            <w:r>
              <w:rPr>
                <w:rFonts w:hint="eastAsia" w:ascii="仿宋" w:hAnsi="仿宋" w:eastAsia="仿宋" w:cs="仿宋"/>
                <w:color w:val="000000"/>
                <w:sz w:val="24"/>
                <w:szCs w:val="24"/>
                <w:lang w:val="en-US" w:eastAsia="zh-CN"/>
              </w:rPr>
              <w:t>9.0。</w:t>
            </w:r>
          </w:p>
          <w:p>
            <w:pPr>
              <w:numPr>
                <w:ilvl w:val="0"/>
                <w:numId w:val="0"/>
              </w:numPr>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4、2014-2016年本人获国家自然科学基金1项、国家“星火计划”重点项目1项；团队成员彭秀丽教授获国家重点研发计划子项2项，李世军副教授获国家自然科学基金项目1项。</w:t>
            </w:r>
          </w:p>
          <w:p>
            <w:pPr>
              <w:spacing w:after="0"/>
              <w:rPr>
                <w:rFonts w:hint="eastAsia" w:ascii="Times New Roman" w:hAnsi="Times New Roman" w:eastAsia="仿宋" w:cs="Times New Roman"/>
                <w:sz w:val="24"/>
                <w:szCs w:val="24"/>
                <w:lang w:val="en-US" w:eastAsia="zh-CN"/>
              </w:rPr>
            </w:pP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发表SCI收录文章稍少。今后应加强总结，多发文章。2017年已发表SCI收录论文2篇（IF&gt;2.0）、1篇在审（IF&gt;2.0）。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7"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学科与人才团队建设</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主持动物生产与畜牧工程学科并积极参与畜牧学一级学科的学科规划、学科项目、学位点建设和评估工作，统筹人才队伍建设规划，落实人才培养和引进工作，建设高水平学科团队、科研基地（平台），完成学科规划目标。指导青年教师俸艳萍、李世军提高教学、科研能力；培养本学科学术骨干，带领并积极支持学科或团队成员开展高水平的国际、国内交流与合作。</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积极参加畜牧学一级学科建设，主要负责动物生产与畜牧工程学科建设、动物生产与畜牧工程学科于2014年被评为省重点学科。注重团队建设，2015年引进青年人才1名（盛哲雅副研究员），团队成员彭秀丽于2016年晋升教授。认真指导青年教师，李世军副教授、俸艳萍副教授教学、科研水平明显提高；积极开展国内外交流与合作。</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9"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社会服务与公共服务</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积极参与学科、学院和学校组织的社会服务项目、以及学院组织的其他公共事务，关心集体，服务社会。主持推进我校对口扶贫项目建始景阳鸡品种资源保护与开发利用项目实施，每年参加地方提高现代农业发展咨询会或培训班2-3次，取得良好的社会效应；不以任何方式拒绝或消极参与学院其他公共事务。</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仿宋" w:hAnsi="仿宋" w:eastAsia="仿宋" w:cs="仿宋"/>
                <w:sz w:val="24"/>
                <w:szCs w:val="24"/>
                <w:lang w:val="en-US" w:eastAsia="zh-CN"/>
              </w:rPr>
              <w:t>主动参与学校、学院及学科组织的社会服务活动。每年进行地方品种鸡遗传资源保护与开发利用、生态土鸡养殖技术培训3次以上，参与湖北省、武汉市家禽养殖产业咨询。2014年-2016年重点推进我校对口扶贫建始项目，通过保护景阳鸡遗传资源、开发景阳鸡新产品、推广生态养殖、解决景阳鸡产业中的重要技术问题，为建始山区农民脱贫致富构建了景阳鸡生态养殖产业，效果良好。建始县</w:t>
            </w:r>
            <w:r>
              <w:rPr>
                <w:rFonts w:hint="eastAsia" w:ascii="仿宋" w:hAnsi="仿宋" w:eastAsia="仿宋" w:cs="仿宋"/>
                <w:sz w:val="24"/>
                <w:szCs w:val="24"/>
              </w:rPr>
              <w:t>景阳鸡生态养殖产业已覆盖建始县4乡6镇24个村，建设</w:t>
            </w:r>
            <w:r>
              <w:rPr>
                <w:rFonts w:hint="eastAsia" w:ascii="仿宋" w:hAnsi="仿宋" w:eastAsia="仿宋" w:cs="仿宋"/>
                <w:sz w:val="24"/>
                <w:szCs w:val="24"/>
                <w:lang w:val="en-US" w:eastAsia="zh-CN"/>
              </w:rPr>
              <w:t>了</w:t>
            </w:r>
            <w:r>
              <w:rPr>
                <w:rFonts w:hint="eastAsia" w:ascii="仿宋" w:hAnsi="仿宋" w:eastAsia="仿宋" w:cs="仿宋"/>
                <w:sz w:val="24"/>
                <w:szCs w:val="24"/>
              </w:rPr>
              <w:t>规模化生态养殖专业村7个</w:t>
            </w:r>
            <w:r>
              <w:rPr>
                <w:rFonts w:hint="eastAsia" w:ascii="仿宋" w:hAnsi="仿宋" w:eastAsia="仿宋" w:cs="仿宋"/>
                <w:sz w:val="24"/>
                <w:szCs w:val="24"/>
                <w:lang w:eastAsia="zh-CN"/>
              </w:rPr>
              <w:t>、</w:t>
            </w:r>
            <w:r>
              <w:rPr>
                <w:rFonts w:hint="eastAsia" w:ascii="仿宋" w:hAnsi="仿宋" w:eastAsia="仿宋" w:cs="仿宋"/>
                <w:sz w:val="24"/>
                <w:szCs w:val="24"/>
              </w:rPr>
              <w:t>专业合作社12家，带动景阳鸡规模化生态养殖农户489户。建始县景阳鸡年饲养规模</w:t>
            </w:r>
            <w:r>
              <w:rPr>
                <w:rFonts w:hint="eastAsia" w:ascii="仿宋" w:hAnsi="仿宋" w:eastAsia="仿宋" w:cs="仿宋"/>
                <w:sz w:val="24"/>
                <w:szCs w:val="24"/>
                <w:lang w:val="en-US" w:eastAsia="zh-CN"/>
              </w:rPr>
              <w:t>由2014年的约40万只发展到2016年的约</w:t>
            </w:r>
            <w:r>
              <w:rPr>
                <w:rFonts w:hint="eastAsia" w:ascii="仿宋" w:hAnsi="仿宋" w:eastAsia="仿宋" w:cs="仿宋"/>
                <w:sz w:val="24"/>
                <w:szCs w:val="24"/>
              </w:rPr>
              <w:t>128万只，年产值达约2.3亿元，直接经济效益9600万元</w:t>
            </w:r>
            <w:r>
              <w:rPr>
                <w:rFonts w:hint="eastAsia" w:ascii="仿宋" w:hAnsi="仿宋" w:eastAsia="仿宋" w:cs="仿宋"/>
                <w:sz w:val="24"/>
                <w:szCs w:val="24"/>
                <w:lang w:eastAsia="zh-CN"/>
              </w:rPr>
              <w:t>。</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各级单位</w:t>
            </w:r>
          </w:p>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审核意见</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系（教研室）</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学院（部）</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评估委员会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7"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评估意见</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9"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后期工作</w:t>
            </w:r>
          </w:p>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建议</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7"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负责人签名单位盖章</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仿宋" w:eastAsia="仿宋" w:cs="Times New Roman"/>
                <w:sz w:val="24"/>
                <w:szCs w:val="24"/>
              </w:rPr>
              <w:t>签名：</w:t>
            </w:r>
            <w:r>
              <w:rPr>
                <w:rFonts w:hint="eastAsia" w:ascii="Times New Roman" w:hAnsi="仿宋" w:eastAsia="仿宋" w:cs="Times New Roman"/>
                <w:sz w:val="24"/>
                <w:szCs w:val="24"/>
              </w:rPr>
              <w:t xml:space="preserve">                     </w:t>
            </w:r>
            <w:r>
              <w:rPr>
                <w:rFonts w:ascii="Times New Roman" w:hAnsi="仿宋" w:eastAsia="仿宋" w:cs="Times New Roman"/>
                <w:sz w:val="24"/>
                <w:szCs w:val="24"/>
              </w:rPr>
              <w:t>日期：</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仿宋" w:eastAsia="仿宋" w:cs="Times New Roman"/>
                <w:sz w:val="24"/>
                <w:szCs w:val="24"/>
              </w:rPr>
              <w:t>公章：</w:t>
            </w:r>
            <w:r>
              <w:rPr>
                <w:rFonts w:hint="eastAsia" w:ascii="Times New Roman" w:hAnsi="仿宋" w:eastAsia="仿宋" w:cs="Times New Roman"/>
                <w:sz w:val="24"/>
                <w:szCs w:val="24"/>
              </w:rPr>
              <w:t xml:space="preserve">                             </w:t>
            </w:r>
            <w:r>
              <w:rPr>
                <w:rFonts w:ascii="Times New Roman" w:hAnsi="仿宋" w:eastAsia="仿宋" w:cs="Times New Roman"/>
                <w:sz w:val="24"/>
                <w:szCs w:val="24"/>
              </w:rPr>
              <w:t>日期：</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仿宋" w:eastAsia="仿宋" w:cs="Times New Roman"/>
                <w:sz w:val="24"/>
                <w:szCs w:val="24"/>
              </w:rPr>
              <w:t>公章：</w:t>
            </w:r>
            <w:r>
              <w:rPr>
                <w:rFonts w:hint="eastAsia" w:ascii="Times New Roman" w:hAnsi="仿宋" w:eastAsia="仿宋" w:cs="Times New Roman"/>
                <w:sz w:val="24"/>
                <w:szCs w:val="24"/>
              </w:rPr>
              <w:t xml:space="preserve">                      </w:t>
            </w:r>
            <w:r>
              <w:rPr>
                <w:rFonts w:ascii="Times New Roman" w:hAnsi="仿宋" w:eastAsia="仿宋" w:cs="Times New Roman"/>
                <w:sz w:val="24"/>
                <w:szCs w:val="24"/>
              </w:rPr>
              <w:t>日期：</w:t>
            </w:r>
          </w:p>
        </w:tc>
      </w:tr>
    </w:tbl>
    <w:p>
      <w:pPr>
        <w:spacing w:after="0" w:line="360" w:lineRule="auto"/>
        <w:rPr>
          <w:rFonts w:ascii="Times New Roman" w:hAnsi="Times New Roman" w:eastAsia="仿宋_GB2312" w:cs="Times New Roman"/>
          <w:sz w:val="28"/>
          <w:szCs w:val="28"/>
        </w:rPr>
      </w:pPr>
    </w:p>
    <w:p>
      <w:pPr>
        <w:spacing w:after="0" w:line="360" w:lineRule="auto"/>
        <w:rPr>
          <w:rFonts w:ascii="Times New Roman" w:hAnsi="Times New Roman" w:eastAsia="仿宋_GB2312" w:cs="Times New Roman"/>
          <w:sz w:val="28"/>
          <w:szCs w:val="28"/>
        </w:rPr>
      </w:pPr>
    </w:p>
    <w:sectPr>
      <w:headerReference r:id="rId3" w:type="default"/>
      <w:pgSz w:w="16838" w:h="11906" w:orient="landscape"/>
      <w:pgMar w:top="1134"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MyriadPro-BoldIt">
    <w:altName w:val="宋体"/>
    <w:panose1 w:val="00000000000000000000"/>
    <w:charset w:val="86"/>
    <w:family w:val="auto"/>
    <w:pitch w:val="default"/>
    <w:sig w:usb0="00000000" w:usb1="00000000" w:usb2="00000010" w:usb3="00000000" w:csb0="00040000" w:csb1="00000000"/>
  </w:font>
  <w:font w:name="MyriadPro-Bold">
    <w:altName w:val="黑体"/>
    <w:panose1 w:val="00000000000000000000"/>
    <w:charset w:val="86"/>
    <w:family w:val="auto"/>
    <w:pitch w:val="default"/>
    <w:sig w:usb0="00000000" w:usb1="00000000" w:usb2="00000010" w:usb3="00000000" w:csb0="00040000" w:csb1="00000000"/>
  </w:font>
  <w:font w:name="MyriadPro-Regular">
    <w:altName w:val="黑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体">
    <w:altName w:val="宋体"/>
    <w:panose1 w:val="02010600030101010101"/>
    <w:charset w:val="86"/>
    <w:family w:val="roman"/>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全新硬笔行书简">
    <w:panose1 w:val="0201060004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Times-Roman">
    <w:altName w:val="Times New Roman"/>
    <w:panose1 w:val="00000000000000000000"/>
    <w:charset w:val="00"/>
    <w:family w:val="roman"/>
    <w:pitch w:val="default"/>
    <w:sig w:usb0="00000000" w:usb1="00000000" w:usb2="00000010" w:usb3="00000000" w:csb0="00020001" w:csb1="00000000"/>
  </w:font>
  <w:font w:name="Arial">
    <w:panose1 w:val="020B0604020202020204"/>
    <w:charset w:val="00"/>
    <w:family w:val="auto"/>
    <w:pitch w:val="default"/>
    <w:sig w:usb0="E0002EFF" w:usb1="C0007843" w:usb2="00000009" w:usb3="00000000" w:csb0="400001FF" w:csb1="FFFF0000"/>
  </w:font>
  <w:font w:name="微软雅黑 Light">
    <w:panose1 w:val="020B0502040204020203"/>
    <w:charset w:val="86"/>
    <w:family w:val="auto"/>
    <w:pitch w:val="default"/>
    <w:sig w:usb0="A00002BF" w:usb1="28CF0010" w:usb2="00000016" w:usb3="00000000" w:csb0="0004000F" w:csb1="00000000"/>
  </w:font>
  <w:font w:name="Symbol">
    <w:panose1 w:val="05050102010706020507"/>
    <w:charset w:val="00"/>
    <w:family w:val="auto"/>
    <w:pitch w:val="default"/>
    <w:sig w:usb0="00000000" w:usb1="00000000" w:usb2="00000000" w:usb3="00000000" w:csb0="80000000" w:csb1="00000000"/>
  </w:font>
  <w:font w:name="AdvP4041BD">
    <w:altName w:val="Times New Roman"/>
    <w:panose1 w:val="00000000000000000000"/>
    <w:charset w:val="00"/>
    <w:family w:val="modern"/>
    <w:pitch w:val="default"/>
    <w:sig w:usb0="00000000" w:usb1="00000000" w:usb2="00000000" w:usb3="00000000" w:csb0="00040001" w:csb1="00000000"/>
  </w:font>
  <w:font w:name="TimesNewRoman">
    <w:altName w:val="黑体"/>
    <w:panose1 w:val="00000000000000000000"/>
    <w:charset w:val="86"/>
    <w:family w:val="auto"/>
    <w:pitch w:val="default"/>
    <w:sig w:usb0="00000000" w:usb1="00000000" w:usb2="00000010" w:usb3="00000000" w:csb0="00040000" w:csb1="00000000"/>
  </w:font>
  <w:font w:name="AdobeSongStd-Light">
    <w:altName w:val="黑体"/>
    <w:panose1 w:val="00000000000000000000"/>
    <w:charset w:val="86"/>
    <w:family w:val="auto"/>
    <w:pitch w:val="default"/>
    <w:sig w:usb0="00000000" w:usb1="00000000" w:usb2="00000010" w:usb3="00000000" w:csb0="00040000" w:csb1="00000000"/>
  </w:font>
  <w:font w:name="MS Mincho">
    <w:altName w:val="MS UI Gothic"/>
    <w:panose1 w:val="02020609040205080304"/>
    <w:charset w:val="80"/>
    <w:family w:val="swiss"/>
    <w:pitch w:val="default"/>
    <w:sig w:usb0="00000000" w:usb1="00000000" w:usb2="08000012" w:usb3="00000000" w:csb0="4002009F" w:csb1="DFD70000"/>
  </w:font>
  <w:font w:name="AdvTT5235d5a9+20">
    <w:altName w:val="Times New Roman"/>
    <w:panose1 w:val="00000000000000000000"/>
    <w:charset w:val="00"/>
    <w:family w:val="modern"/>
    <w:pitch w:val="default"/>
    <w:sig w:usb0="00000000" w:usb1="00000000" w:usb2="00000000" w:usb3="00000000" w:csb0="00040001" w:csb1="00000000"/>
  </w:font>
  <w:font w:name="MS UI Gothic">
    <w:panose1 w:val="020B0600070205080204"/>
    <w:charset w:val="80"/>
    <w:family w:val="auto"/>
    <w:pitch w:val="default"/>
    <w:sig w:usb0="E00002FF" w:usb1="6AC7FDFB" w:usb2="08000012" w:usb3="00000000" w:csb0="4002009F" w:csb1="DFD70000"/>
  </w:font>
  <w:font w:name="方正兰亭超细黑简体">
    <w:panose1 w:val="02000000000000000000"/>
    <w:charset w:val="86"/>
    <w:family w:val="auto"/>
    <w:pitch w:val="default"/>
    <w:sig w:usb0="00000001" w:usb1="08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7960"/>
    <w:rsid w:val="0003298F"/>
    <w:rsid w:val="0009280E"/>
    <w:rsid w:val="000C06E2"/>
    <w:rsid w:val="000D1792"/>
    <w:rsid w:val="000F4818"/>
    <w:rsid w:val="00106CDD"/>
    <w:rsid w:val="001153CF"/>
    <w:rsid w:val="00124621"/>
    <w:rsid w:val="00180685"/>
    <w:rsid w:val="0018414E"/>
    <w:rsid w:val="0018420D"/>
    <w:rsid w:val="00191521"/>
    <w:rsid w:val="00195F28"/>
    <w:rsid w:val="001C67AE"/>
    <w:rsid w:val="001D558D"/>
    <w:rsid w:val="002025D2"/>
    <w:rsid w:val="00213A6E"/>
    <w:rsid w:val="00214D70"/>
    <w:rsid w:val="002404DB"/>
    <w:rsid w:val="0029409F"/>
    <w:rsid w:val="002B20DB"/>
    <w:rsid w:val="002B70B9"/>
    <w:rsid w:val="002B7544"/>
    <w:rsid w:val="002C65B3"/>
    <w:rsid w:val="0030535B"/>
    <w:rsid w:val="003166B3"/>
    <w:rsid w:val="00320338"/>
    <w:rsid w:val="00323B43"/>
    <w:rsid w:val="00331861"/>
    <w:rsid w:val="00332111"/>
    <w:rsid w:val="0033378E"/>
    <w:rsid w:val="003364FE"/>
    <w:rsid w:val="00352200"/>
    <w:rsid w:val="00356D60"/>
    <w:rsid w:val="00367E50"/>
    <w:rsid w:val="003D37D8"/>
    <w:rsid w:val="003E2A3C"/>
    <w:rsid w:val="00411227"/>
    <w:rsid w:val="00426133"/>
    <w:rsid w:val="004358AB"/>
    <w:rsid w:val="004400E4"/>
    <w:rsid w:val="0047622C"/>
    <w:rsid w:val="004D1925"/>
    <w:rsid w:val="005252D7"/>
    <w:rsid w:val="005301EE"/>
    <w:rsid w:val="00554B25"/>
    <w:rsid w:val="005A5472"/>
    <w:rsid w:val="005B0027"/>
    <w:rsid w:val="005B27F5"/>
    <w:rsid w:val="005B466F"/>
    <w:rsid w:val="005D4CA0"/>
    <w:rsid w:val="005F5607"/>
    <w:rsid w:val="00600AF5"/>
    <w:rsid w:val="00605A33"/>
    <w:rsid w:val="00610004"/>
    <w:rsid w:val="0063541C"/>
    <w:rsid w:val="006B2106"/>
    <w:rsid w:val="006C4AE5"/>
    <w:rsid w:val="006D322A"/>
    <w:rsid w:val="006F340D"/>
    <w:rsid w:val="00700DAA"/>
    <w:rsid w:val="00722225"/>
    <w:rsid w:val="00724482"/>
    <w:rsid w:val="00724931"/>
    <w:rsid w:val="00730A5E"/>
    <w:rsid w:val="00750A46"/>
    <w:rsid w:val="00766594"/>
    <w:rsid w:val="00777ABE"/>
    <w:rsid w:val="007800B9"/>
    <w:rsid w:val="007A30A2"/>
    <w:rsid w:val="007A45E0"/>
    <w:rsid w:val="007C6E94"/>
    <w:rsid w:val="007D0E41"/>
    <w:rsid w:val="007D2A99"/>
    <w:rsid w:val="007F61F2"/>
    <w:rsid w:val="00810FD8"/>
    <w:rsid w:val="00851ECA"/>
    <w:rsid w:val="00887CA3"/>
    <w:rsid w:val="008A65A2"/>
    <w:rsid w:val="008A694A"/>
    <w:rsid w:val="008B561E"/>
    <w:rsid w:val="008B70D7"/>
    <w:rsid w:val="008B7726"/>
    <w:rsid w:val="008C7503"/>
    <w:rsid w:val="008D6781"/>
    <w:rsid w:val="00904059"/>
    <w:rsid w:val="00922B48"/>
    <w:rsid w:val="009263F4"/>
    <w:rsid w:val="009443E0"/>
    <w:rsid w:val="009555B3"/>
    <w:rsid w:val="00973924"/>
    <w:rsid w:val="00974E49"/>
    <w:rsid w:val="0097690B"/>
    <w:rsid w:val="0099132C"/>
    <w:rsid w:val="009A2806"/>
    <w:rsid w:val="009C7C1C"/>
    <w:rsid w:val="009E55FA"/>
    <w:rsid w:val="009F2BC3"/>
    <w:rsid w:val="00A12DE4"/>
    <w:rsid w:val="00A83680"/>
    <w:rsid w:val="00AD11A7"/>
    <w:rsid w:val="00AF05C0"/>
    <w:rsid w:val="00B06659"/>
    <w:rsid w:val="00B12593"/>
    <w:rsid w:val="00B14AE2"/>
    <w:rsid w:val="00B25A19"/>
    <w:rsid w:val="00B37B77"/>
    <w:rsid w:val="00B66335"/>
    <w:rsid w:val="00B8321A"/>
    <w:rsid w:val="00B87BAE"/>
    <w:rsid w:val="00C610E0"/>
    <w:rsid w:val="00C74A45"/>
    <w:rsid w:val="00C92526"/>
    <w:rsid w:val="00C96EAC"/>
    <w:rsid w:val="00CB0304"/>
    <w:rsid w:val="00CB31FF"/>
    <w:rsid w:val="00D27322"/>
    <w:rsid w:val="00D31D50"/>
    <w:rsid w:val="00D3745F"/>
    <w:rsid w:val="00D80CB3"/>
    <w:rsid w:val="00D917B8"/>
    <w:rsid w:val="00DA00C9"/>
    <w:rsid w:val="00DA3AD7"/>
    <w:rsid w:val="00DA69F1"/>
    <w:rsid w:val="00DE2CC4"/>
    <w:rsid w:val="00DE6EDD"/>
    <w:rsid w:val="00E05518"/>
    <w:rsid w:val="00E2280A"/>
    <w:rsid w:val="00E33017"/>
    <w:rsid w:val="00E36A61"/>
    <w:rsid w:val="00E76F86"/>
    <w:rsid w:val="00EC7F16"/>
    <w:rsid w:val="00F2459E"/>
    <w:rsid w:val="00F27B1E"/>
    <w:rsid w:val="00F35923"/>
    <w:rsid w:val="00F53ED9"/>
    <w:rsid w:val="00F71E38"/>
    <w:rsid w:val="00FC3AB4"/>
    <w:rsid w:val="00FD141D"/>
    <w:rsid w:val="00FE6CB5"/>
    <w:rsid w:val="00FF1829"/>
    <w:rsid w:val="0A9F05F8"/>
    <w:rsid w:val="0E0E3083"/>
    <w:rsid w:val="183F321D"/>
    <w:rsid w:val="2B2B48C5"/>
    <w:rsid w:val="2EB4492E"/>
    <w:rsid w:val="341C667E"/>
    <w:rsid w:val="3AC23639"/>
    <w:rsid w:val="4A0F2508"/>
    <w:rsid w:val="66B33EA5"/>
    <w:rsid w:val="684335F9"/>
    <w:rsid w:val="69821B7E"/>
    <w:rsid w:val="720124B7"/>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unhideWhenUsed/>
    <w:qFormat/>
    <w:uiPriority w:val="99"/>
    <w:rPr>
      <w:b/>
      <w:bCs/>
    </w:rPr>
  </w:style>
  <w:style w:type="paragraph" w:styleId="3">
    <w:name w:val="annotation text"/>
    <w:basedOn w:val="1"/>
    <w:link w:val="15"/>
    <w:unhideWhenUsed/>
    <w:qFormat/>
    <w:uiPriority w:val="99"/>
  </w:style>
  <w:style w:type="paragraph" w:styleId="4">
    <w:name w:val="Balloon Text"/>
    <w:basedOn w:val="1"/>
    <w:link w:val="13"/>
    <w:unhideWhenUsed/>
    <w:qFormat/>
    <w:uiPriority w:val="99"/>
    <w:pPr>
      <w:spacing w:after="0"/>
    </w:pPr>
    <w:rPr>
      <w:sz w:val="18"/>
      <w:szCs w:val="18"/>
    </w:rPr>
  </w:style>
  <w:style w:type="paragraph" w:styleId="5">
    <w:name w:val="footer"/>
    <w:basedOn w:val="1"/>
    <w:link w:val="12"/>
    <w:unhideWhenUsed/>
    <w:qFormat/>
    <w:uiPriority w:val="99"/>
    <w:pPr>
      <w:tabs>
        <w:tab w:val="center" w:pos="4153"/>
        <w:tab w:val="right" w:pos="8306"/>
      </w:tabs>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character" w:styleId="8">
    <w:name w:val="annotation reference"/>
    <w:basedOn w:val="7"/>
    <w:unhideWhenUsed/>
    <w:qFormat/>
    <w:uiPriority w:val="99"/>
    <w:rPr>
      <w:sz w:val="21"/>
      <w:szCs w:val="21"/>
    </w:rPr>
  </w:style>
  <w:style w:type="table" w:styleId="10">
    <w:name w:val="Table Grid"/>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7"/>
    <w:link w:val="6"/>
    <w:uiPriority w:val="99"/>
    <w:rPr>
      <w:rFonts w:ascii="Tahoma" w:hAnsi="Tahoma"/>
      <w:sz w:val="18"/>
      <w:szCs w:val="18"/>
    </w:rPr>
  </w:style>
  <w:style w:type="character" w:customStyle="1" w:styleId="12">
    <w:name w:val="页脚 Char"/>
    <w:basedOn w:val="7"/>
    <w:link w:val="5"/>
    <w:qFormat/>
    <w:uiPriority w:val="99"/>
    <w:rPr>
      <w:rFonts w:ascii="Tahoma" w:hAnsi="Tahoma"/>
      <w:sz w:val="18"/>
      <w:szCs w:val="18"/>
    </w:rPr>
  </w:style>
  <w:style w:type="character" w:customStyle="1" w:styleId="13">
    <w:name w:val="批注框文本 Char"/>
    <w:basedOn w:val="7"/>
    <w:link w:val="4"/>
    <w:semiHidden/>
    <w:qFormat/>
    <w:uiPriority w:val="99"/>
    <w:rPr>
      <w:rFonts w:ascii="Tahoma" w:hAnsi="Tahoma"/>
      <w:sz w:val="18"/>
      <w:szCs w:val="18"/>
    </w:rPr>
  </w:style>
  <w:style w:type="paragraph" w:customStyle="1" w:styleId="14">
    <w:name w:val="List Paragraph"/>
    <w:basedOn w:val="1"/>
    <w:qFormat/>
    <w:uiPriority w:val="34"/>
    <w:pPr>
      <w:ind w:firstLine="420" w:firstLineChars="200"/>
    </w:pPr>
  </w:style>
  <w:style w:type="character" w:customStyle="1" w:styleId="15">
    <w:name w:val="批注文字 Char"/>
    <w:basedOn w:val="7"/>
    <w:link w:val="3"/>
    <w:semiHidden/>
    <w:qFormat/>
    <w:uiPriority w:val="99"/>
    <w:rPr>
      <w:rFonts w:ascii="Tahoma" w:hAnsi="Tahoma"/>
    </w:rPr>
  </w:style>
  <w:style w:type="character" w:customStyle="1" w:styleId="16">
    <w:name w:val="批注主题 Char"/>
    <w:basedOn w:val="15"/>
    <w:link w:val="2"/>
    <w:semiHidden/>
    <w:qFormat/>
    <w:uiPriority w:val="99"/>
    <w:rPr>
      <w:rFonts w:ascii="Tahoma" w:hAnsi="Tahoma"/>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Company>
  <Pages>2</Pages>
  <Words>50</Words>
  <Characters>287</Characters>
  <Lines>2</Lines>
  <Paragraphs>1</Paragraphs>
  <ScaleCrop>false</ScaleCrop>
  <LinksUpToDate>false</LinksUpToDate>
  <CharactersWithSpaces>336</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2017-04-06T00:52:00Z</dcterms:created>
  <dc:creator>Administrator</dc:creator>
  <cp:lastModifiedBy>user</cp:lastModifiedBy>
  <cp:lastPrinted>2017-04-27T07:28:01Z</cp:lastPrinted>
  <dcterms:modified xsi:type="dcterms:W3CDTF">2017-04-27T07:28:57Z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