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附：华中农业大学教师岗位聘任中期评估表（</w:t>
      </w:r>
      <w:r>
        <w:rPr>
          <w:rFonts w:hint="eastAsia" w:ascii="Times New Roman" w:hAnsi="Times New Roman" w:eastAsia="方正小标宋简体" w:cs="Times New Roman"/>
          <w:sz w:val="32"/>
          <w:szCs w:val="32"/>
          <w:lang w:val="en-US" w:eastAsia="zh-CN"/>
        </w:rPr>
        <w:t>齐智利</w:t>
      </w:r>
      <w:r>
        <w:rPr>
          <w:rFonts w:ascii="Times New Roman" w:hAnsi="Times New Roman" w:eastAsia="方正小标宋简体" w:cs="Times New Roman"/>
          <w:sz w:val="32"/>
          <w:szCs w:val="32"/>
        </w:rPr>
        <w:t>）</w:t>
      </w:r>
    </w:p>
    <w:p>
      <w:pPr>
        <w:spacing w:after="0"/>
        <w:jc w:val="center"/>
        <w:rPr>
          <w:rFonts w:ascii="Times New Roman" w:hAnsi="Times New Roman" w:eastAsia="仿宋_GB2312" w:cs="Times New Roman"/>
          <w:sz w:val="28"/>
          <w:szCs w:val="28"/>
        </w:rPr>
      </w:pPr>
    </w:p>
    <w:p>
      <w:pPr>
        <w:spacing w:afterLines="50"/>
        <w:rPr>
          <w:rFonts w:ascii="Times New Roman" w:hAnsi="Times New Roman" w:eastAsia="仿宋_GB2312" w:cs="Times New Roman"/>
          <w:sz w:val="24"/>
          <w:szCs w:val="24"/>
        </w:rPr>
      </w:pPr>
      <w:r>
        <w:rPr>
          <w:rFonts w:ascii="Times New Roman" w:hAnsi="黑体" w:eastAsia="黑体" w:cs="Times New Roman"/>
          <w:sz w:val="24"/>
          <w:szCs w:val="24"/>
        </w:rPr>
        <w:t>学院</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动科-动医学院</w:t>
      </w:r>
    </w:p>
    <w:tbl>
      <w:tblPr>
        <w:tblStyle w:val="12"/>
        <w:tblW w:w="149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214"/>
        <w:gridCol w:w="1204"/>
        <w:gridCol w:w="1276"/>
        <w:gridCol w:w="1559"/>
        <w:gridCol w:w="446"/>
        <w:gridCol w:w="1397"/>
        <w:gridCol w:w="2976"/>
        <w:gridCol w:w="1843"/>
        <w:gridCol w:w="1544"/>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exact"/>
          <w:jc w:val="center"/>
        </w:trPr>
        <w:tc>
          <w:tcPr>
            <w:tcW w:w="1035"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姓名</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齐智利</w:t>
            </w:r>
          </w:p>
        </w:tc>
        <w:tc>
          <w:tcPr>
            <w:tcW w:w="127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r>
              <w:rPr>
                <w:rFonts w:ascii="Times New Roman" w:hAnsi="黑体" w:eastAsia="黑体" w:cs="Times New Roman"/>
                <w:sz w:val="24"/>
                <w:szCs w:val="24"/>
              </w:rPr>
              <w:t>岗位级别</w:t>
            </w:r>
          </w:p>
        </w:tc>
        <w:tc>
          <w:tcPr>
            <w:tcW w:w="1559" w:type="dxa"/>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副教授二级</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r>
              <w:rPr>
                <w:rFonts w:ascii="Times New Roman" w:hAnsi="黑体" w:eastAsia="黑体" w:cs="Times New Roman"/>
                <w:sz w:val="24"/>
                <w:szCs w:val="24"/>
              </w:rPr>
              <w:t>所属一级学科</w:t>
            </w:r>
          </w:p>
        </w:tc>
        <w:tc>
          <w:tcPr>
            <w:tcW w:w="2976" w:type="dxa"/>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畜牧</w:t>
            </w:r>
          </w:p>
        </w:tc>
        <w:tc>
          <w:tcPr>
            <w:tcW w:w="1843"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r>
              <w:rPr>
                <w:rFonts w:ascii="Times New Roman" w:hAnsi="黑体" w:eastAsia="黑体" w:cs="Times New Roman"/>
                <w:sz w:val="24"/>
                <w:szCs w:val="24"/>
              </w:rPr>
              <w:t>所属二级学科</w:t>
            </w:r>
          </w:p>
        </w:tc>
        <w:tc>
          <w:tcPr>
            <w:tcW w:w="2977"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动物营养与饲料科学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927" w:type="dxa"/>
            <w:gridSpan w:val="11"/>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r>
              <w:rPr>
                <w:rFonts w:ascii="Times New Roman" w:hAnsi="黑体" w:eastAsia="黑体" w:cs="Times New Roman"/>
                <w:sz w:val="24"/>
                <w:szCs w:val="24"/>
              </w:rPr>
              <w:t>自我评估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exact"/>
          <w:jc w:val="center"/>
        </w:trPr>
        <w:tc>
          <w:tcPr>
            <w:tcW w:w="1249"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项目</w:t>
            </w:r>
          </w:p>
        </w:tc>
        <w:tc>
          <w:tcPr>
            <w:tcW w:w="4485" w:type="dxa"/>
            <w:gridSpan w:val="4"/>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聘任协议书约定的岗位职责与工作目标</w:t>
            </w:r>
          </w:p>
        </w:tc>
        <w:tc>
          <w:tcPr>
            <w:tcW w:w="7760" w:type="dxa"/>
            <w:gridSpan w:val="4"/>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中期完成情况</w:t>
            </w:r>
          </w:p>
        </w:tc>
        <w:tc>
          <w:tcPr>
            <w:tcW w:w="1433"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存在问题与改进计划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8" w:hRule="exact"/>
          <w:jc w:val="center"/>
        </w:trPr>
        <w:tc>
          <w:tcPr>
            <w:tcW w:w="1249"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学风与职业道德建设</w:t>
            </w:r>
          </w:p>
        </w:tc>
        <w:tc>
          <w:tcPr>
            <w:tcW w:w="4485" w:type="dxa"/>
            <w:gridSpan w:val="4"/>
            <w:tcBorders>
              <w:top w:val="single" w:color="auto" w:sz="4" w:space="0"/>
              <w:left w:val="single" w:color="auto" w:sz="4" w:space="0"/>
              <w:bottom w:val="single" w:color="auto" w:sz="4" w:space="0"/>
              <w:right w:val="single" w:color="auto" w:sz="4" w:space="0"/>
            </w:tcBorders>
            <w:vAlign w:val="center"/>
          </w:tcPr>
          <w:p>
            <w:pPr>
              <w:spacing w:line="540" w:lineRule="exact"/>
              <w:rPr>
                <w:rFonts w:ascii="Times New Roman" w:hAnsi="Times New Roman" w:eastAsia="仿宋" w:cs="Times New Roman"/>
                <w:sz w:val="24"/>
                <w:szCs w:val="24"/>
              </w:rPr>
            </w:pPr>
            <w:r>
              <w:rPr>
                <w:rFonts w:hint="eastAsia" w:ascii="仿宋" w:hAnsi="仿宋" w:eastAsia="仿宋" w:cs="仿宋"/>
                <w:b w:val="0"/>
                <w:bCs w:val="0"/>
                <w:sz w:val="24"/>
                <w:szCs w:val="24"/>
                <w:lang w:val="en-US" w:eastAsia="zh-CN"/>
              </w:rPr>
              <w:t>恪守教师职业道德规范，学风端正，个人和学生无违反职业道德规范和学术不端行为发生。</w:t>
            </w:r>
          </w:p>
        </w:tc>
        <w:tc>
          <w:tcPr>
            <w:tcW w:w="7760" w:type="dxa"/>
            <w:gridSpan w:val="4"/>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r>
              <w:rPr>
                <w:rFonts w:hint="eastAsia" w:ascii="仿宋" w:hAnsi="仿宋" w:eastAsia="仿宋" w:cs="仿宋"/>
                <w:b w:val="0"/>
                <w:bCs w:val="0"/>
                <w:sz w:val="24"/>
                <w:szCs w:val="24"/>
                <w:lang w:val="en-US" w:eastAsia="zh-CN"/>
              </w:rPr>
              <w:t>认真学习“习近平总书记系列重要讲话读本”和“中国共产党廉洁自律准则”，</w:t>
            </w:r>
            <w:r>
              <w:rPr>
                <w:rFonts w:hint="eastAsia" w:ascii="仿宋" w:hAnsi="仿宋" w:eastAsia="仿宋" w:cs="仿宋"/>
                <w:b w:val="0"/>
                <w:bCs w:val="0"/>
                <w:sz w:val="24"/>
                <w:szCs w:val="24"/>
              </w:rPr>
              <w:t>不断加强自身思想政治教育和师德师风教育，自觉履行《教师法》和《高等教育法》， 把提高教育教学质量摆在首要位置，树立事业心和责任感，积极培养学生和影响学生。</w:t>
            </w:r>
          </w:p>
        </w:tc>
        <w:tc>
          <w:tcPr>
            <w:tcW w:w="1433" w:type="dxa"/>
            <w:tcBorders>
              <w:top w:val="single" w:color="auto" w:sz="4" w:space="0"/>
              <w:left w:val="single" w:color="auto" w:sz="4" w:space="0"/>
              <w:bottom w:val="single" w:color="auto" w:sz="4" w:space="0"/>
              <w:right w:val="single" w:color="auto" w:sz="4" w:space="0"/>
            </w:tcBorders>
            <w:vAlign w:val="center"/>
          </w:tcPr>
          <w:p>
            <w:pPr>
              <w:spacing w:after="0"/>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exact"/>
          <w:jc w:val="center"/>
        </w:trPr>
        <w:tc>
          <w:tcPr>
            <w:tcW w:w="1249"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学生教育</w:t>
            </w:r>
          </w:p>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管理</w:t>
            </w:r>
          </w:p>
        </w:tc>
        <w:tc>
          <w:tcPr>
            <w:tcW w:w="4485" w:type="dxa"/>
            <w:gridSpan w:val="4"/>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r>
              <w:rPr>
                <w:rFonts w:hint="eastAsia" w:ascii="仿宋" w:hAnsi="仿宋" w:eastAsia="仿宋" w:cs="仿宋"/>
                <w:b w:val="0"/>
                <w:bCs w:val="0"/>
                <w:sz w:val="24"/>
                <w:szCs w:val="24"/>
                <w:lang w:val="en-US" w:eastAsia="zh-CN"/>
              </w:rPr>
              <w:t>参与学生思想政治教育与学生管理工作。</w:t>
            </w:r>
          </w:p>
        </w:tc>
        <w:tc>
          <w:tcPr>
            <w:tcW w:w="7760" w:type="dxa"/>
            <w:gridSpan w:val="4"/>
            <w:tcBorders>
              <w:top w:val="single" w:color="auto" w:sz="4" w:space="0"/>
              <w:left w:val="single" w:color="auto" w:sz="4" w:space="0"/>
              <w:bottom w:val="single" w:color="auto" w:sz="4" w:space="0"/>
              <w:right w:val="single" w:color="auto" w:sz="4" w:space="0"/>
            </w:tcBorders>
            <w:vAlign w:val="center"/>
          </w:tcPr>
          <w:p>
            <w:pPr>
              <w:spacing w:after="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在教学科研等工作中坚持学为人师、行为世范，以高尚的道德情操和社会主义核心价值观引领和培育学生健康成长。聘期内，所带班级和所指导研究生无重大责任事故发生，学生健康成长，品行优良。</w:t>
            </w:r>
          </w:p>
          <w:p>
            <w:pPr>
              <w:spacing w:after="0"/>
              <w:rPr>
                <w:rFonts w:ascii="Times New Roman" w:hAnsi="Times New Roman" w:eastAsia="仿宋" w:cs="Times New Roman"/>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spacing w:after="0"/>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0" w:hRule="exact"/>
          <w:jc w:val="center"/>
        </w:trPr>
        <w:tc>
          <w:tcPr>
            <w:tcW w:w="1249"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教学工作</w:t>
            </w:r>
          </w:p>
        </w:tc>
        <w:tc>
          <w:tcPr>
            <w:tcW w:w="4485" w:type="dxa"/>
            <w:gridSpan w:val="4"/>
            <w:tcBorders>
              <w:top w:val="single" w:color="auto" w:sz="4" w:space="0"/>
              <w:left w:val="single" w:color="auto" w:sz="4" w:space="0"/>
              <w:bottom w:val="single" w:color="auto" w:sz="4" w:space="0"/>
              <w:right w:val="single" w:color="auto" w:sz="4" w:space="0"/>
            </w:tcBorders>
            <w:vAlign w:val="center"/>
          </w:tcPr>
          <w:p>
            <w:pPr>
              <w:pStyle w:val="4"/>
              <w:numPr>
                <w:ilvl w:val="0"/>
                <w:numId w:val="0"/>
              </w:numPr>
              <w:spacing w:line="480" w:lineRule="atLeast"/>
              <w:rPr>
                <w:rFonts w:ascii="Times New Roman" w:hAnsi="Times New Roman" w:eastAsia="仿宋" w:cs="Times New Roman"/>
                <w:sz w:val="24"/>
                <w:szCs w:val="24"/>
              </w:rPr>
            </w:pPr>
            <w:r>
              <w:rPr>
                <w:rFonts w:hint="eastAsia" w:ascii="仿宋" w:hAnsi="仿宋" w:eastAsia="仿宋" w:cs="仿宋"/>
                <w:b w:val="0"/>
                <w:bCs w:val="0"/>
                <w:sz w:val="24"/>
                <w:szCs w:val="24"/>
                <w:lang w:val="en-US" w:eastAsia="zh-CN" w:bidi="ar-SA"/>
              </w:rPr>
              <w:t>讲授本学科主干课程，承担研究生及本科生的教学任务，年教学工作量不少于160标准学时，教学效果良好；每年面向本学科的教师和学生作1场以上学术报告；积极开展教学改革活动</w:t>
            </w:r>
            <w:r>
              <w:rPr>
                <w:rFonts w:hint="eastAsia" w:ascii="长城仿宋" w:eastAsia="长城仿宋"/>
                <w:bCs/>
                <w:sz w:val="24"/>
              </w:rPr>
              <w:t>。</w:t>
            </w:r>
          </w:p>
        </w:tc>
        <w:tc>
          <w:tcPr>
            <w:tcW w:w="7760" w:type="dxa"/>
            <w:gridSpan w:val="4"/>
            <w:tcBorders>
              <w:top w:val="single" w:color="auto" w:sz="4" w:space="0"/>
              <w:left w:val="single" w:color="auto" w:sz="4" w:space="0"/>
              <w:bottom w:val="single" w:color="auto" w:sz="4" w:space="0"/>
              <w:right w:val="single" w:color="auto" w:sz="4" w:space="0"/>
            </w:tcBorders>
            <w:vAlign w:val="center"/>
          </w:tcPr>
          <w:p>
            <w:pPr>
              <w:pStyle w:val="4"/>
              <w:spacing w:line="360" w:lineRule="exact"/>
              <w:ind w:left="102" w:leftChars="0" w:hanging="102" w:firstLineChars="0"/>
              <w:rPr>
                <w:rFonts w:hint="eastAsia" w:ascii="仿宋_GB2312" w:hAnsi="Tahoma" w:eastAsia="仿宋_GB2312" w:cstheme="minorBidi"/>
                <w:sz w:val="21"/>
                <w:szCs w:val="21"/>
                <w:lang w:val="en-US" w:eastAsia="zh-CN" w:bidi="ar-SA"/>
              </w:rPr>
            </w:pPr>
            <w:r>
              <w:rPr>
                <w:rFonts w:hint="eastAsia" w:ascii="仿宋" w:hAnsi="仿宋" w:eastAsia="仿宋" w:cs="仿宋"/>
                <w:b w:val="0"/>
                <w:bCs w:val="0"/>
                <w:sz w:val="24"/>
                <w:szCs w:val="24"/>
                <w:lang w:val="en-US" w:eastAsia="zh-CN" w:bidi="ar-SA"/>
              </w:rPr>
              <w:t xml:space="preserve"> 面对本科生讲授了专业必修课《饲料学》《饲料分析与动物营养研究技术》和专业基础课《配合饲料学》；讲授了研究生学位课《高级动物营养学》《饲料科学进展》《饲料加工与检测技术》，年平均教学工作量达380标准学时，教学效果好，2014年度学生评分为92.71，全院排名18/130，2015年度学生评分为92.32，全院排名47/120，2016年度学生评分为92.88，全院排名8/133；2016年获得华中农业大学教学质量优秀三等奖表彰； 主持1项省级教改项目，1项校级重点教研项目，1项研究生的案例式教学研究项目。结题1项湖北省教学研究项目，获得优秀结题证书；发表2篇教改论文；主编立项全国高等农林院校“十三五”规划教材1部，参编教材1部；向本学科的教师和学生作了学术报告。</w:t>
            </w:r>
          </w:p>
        </w:tc>
        <w:tc>
          <w:tcPr>
            <w:tcW w:w="1433" w:type="dxa"/>
            <w:tcBorders>
              <w:top w:val="single" w:color="auto" w:sz="4" w:space="0"/>
              <w:left w:val="single" w:color="auto" w:sz="4" w:space="0"/>
              <w:bottom w:val="single" w:color="auto" w:sz="4" w:space="0"/>
              <w:right w:val="single" w:color="auto" w:sz="4" w:space="0"/>
            </w:tcBorders>
            <w:vAlign w:val="center"/>
          </w:tcPr>
          <w:p>
            <w:pPr>
              <w:spacing w:after="0"/>
              <w:rPr>
                <w:rFonts w:hint="eastAsia" w:ascii="仿宋_GB2312" w:hAnsi="Tahoma" w:eastAsia="仿宋_GB2312" w:cstheme="minorBidi"/>
                <w:sz w:val="21"/>
                <w:szCs w:val="21"/>
                <w:lang w:val="en-US" w:eastAsia="zh-CN" w:bidi="ar-SA"/>
              </w:rPr>
            </w:pPr>
            <w:r>
              <w:rPr>
                <w:rFonts w:hint="eastAsia" w:ascii="仿宋_GB2312" w:eastAsia="仿宋_GB2312" w:cstheme="minorBidi"/>
                <w:sz w:val="21"/>
                <w:szCs w:val="21"/>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3" w:hRule="exact"/>
          <w:jc w:val="center"/>
        </w:trPr>
        <w:tc>
          <w:tcPr>
            <w:tcW w:w="1249"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人才培养</w:t>
            </w:r>
          </w:p>
        </w:tc>
        <w:tc>
          <w:tcPr>
            <w:tcW w:w="4485" w:type="dxa"/>
            <w:gridSpan w:val="4"/>
            <w:tcBorders>
              <w:top w:val="single" w:color="auto" w:sz="4" w:space="0"/>
              <w:left w:val="single" w:color="auto" w:sz="4" w:space="0"/>
              <w:bottom w:val="single" w:color="auto" w:sz="4" w:space="0"/>
              <w:right w:val="single" w:color="auto" w:sz="4" w:space="0"/>
            </w:tcBorders>
            <w:vAlign w:val="center"/>
          </w:tcPr>
          <w:p>
            <w:pPr>
              <w:pStyle w:val="8"/>
              <w:spacing w:before="0" w:beforeAutospacing="0" w:after="0" w:afterAutospacing="0" w:line="320" w:lineRule="exac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培养硕士研究生。</w:t>
            </w:r>
          </w:p>
          <w:p>
            <w:pPr>
              <w:spacing w:after="0"/>
              <w:rPr>
                <w:rFonts w:ascii="Times New Roman" w:hAnsi="Times New Roman" w:eastAsia="仿宋" w:cs="Times New Roman"/>
                <w:sz w:val="24"/>
                <w:szCs w:val="24"/>
              </w:rPr>
            </w:pPr>
          </w:p>
        </w:tc>
        <w:tc>
          <w:tcPr>
            <w:tcW w:w="7760" w:type="dxa"/>
            <w:gridSpan w:val="4"/>
            <w:tcBorders>
              <w:top w:val="single" w:color="auto" w:sz="4" w:space="0"/>
              <w:left w:val="single" w:color="auto" w:sz="4" w:space="0"/>
              <w:bottom w:val="single" w:color="auto" w:sz="4" w:space="0"/>
              <w:right w:val="single" w:color="auto" w:sz="4" w:space="0"/>
            </w:tcBorders>
            <w:vAlign w:val="center"/>
          </w:tcPr>
          <w:p>
            <w:pPr>
              <w:pStyle w:val="8"/>
              <w:spacing w:before="0" w:beforeAutospacing="0" w:after="0" w:afterAutospacing="0" w:line="320" w:lineRule="exac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2014-2016年，培养毕业硕士研究生5人，目前在读硕士研究生5人，指导的3名研究生（施忠秋、王超、周颖）获得国家奖学金，2名研究生（郭亮，施忠秋）获得“诺伟司奖学金”“大北农奖学金”等企业奖学金；2名研究生（王超，周颖）获得“三好学生”称号，并获得“优秀毕业生（王超，周颖）”和“优秀研究生干部（周颖）”等称号。1名研究生（王超）获得“农业硕士实习实践优秀成果获得者”。</w:t>
            </w:r>
          </w:p>
          <w:p>
            <w:pPr>
              <w:pStyle w:val="8"/>
              <w:spacing w:before="0" w:beforeAutospacing="0" w:after="0" w:afterAutospacing="0" w:line="320" w:lineRule="exac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1名研究生（许啸）的论文获得湖北省优秀论文奖励，3名研究生（施忠秋、王超，周颖）的论文获得华中农业大学优秀论文奖励。</w:t>
            </w:r>
          </w:p>
          <w:p>
            <w:pPr>
              <w:spacing w:after="0"/>
              <w:rPr>
                <w:rFonts w:hint="eastAsia" w:ascii="仿宋_GB2312" w:hAnsi="Tahoma" w:eastAsia="仿宋_GB2312" w:cstheme="minorBidi"/>
                <w:sz w:val="21"/>
                <w:szCs w:val="21"/>
                <w:lang w:val="en-US" w:eastAsia="zh-CN" w:bidi="ar-SA"/>
              </w:rPr>
            </w:pPr>
          </w:p>
        </w:tc>
        <w:tc>
          <w:tcPr>
            <w:tcW w:w="1433" w:type="dxa"/>
            <w:tcBorders>
              <w:top w:val="single" w:color="auto" w:sz="4" w:space="0"/>
              <w:left w:val="single" w:color="auto" w:sz="4" w:space="0"/>
              <w:bottom w:val="single" w:color="auto" w:sz="4" w:space="0"/>
              <w:right w:val="single" w:color="auto" w:sz="4" w:space="0"/>
            </w:tcBorders>
            <w:vAlign w:val="center"/>
          </w:tcPr>
          <w:p>
            <w:pPr>
              <w:spacing w:after="0"/>
              <w:rPr>
                <w:rFonts w:hint="eastAsia" w:ascii="仿宋_GB2312" w:hAnsi="Tahoma" w:eastAsia="仿宋_GB2312" w:cstheme="minorBidi"/>
                <w:sz w:val="21"/>
                <w:szCs w:val="21"/>
                <w:lang w:val="en-US" w:eastAsia="zh-CN" w:bidi="ar-SA"/>
              </w:rPr>
            </w:pPr>
            <w:r>
              <w:rPr>
                <w:rFonts w:hint="eastAsia" w:ascii="仿宋_GB2312" w:eastAsia="仿宋_GB2312" w:cstheme="minorBidi"/>
                <w:sz w:val="21"/>
                <w:szCs w:val="21"/>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6" w:hRule="exact"/>
          <w:jc w:val="center"/>
        </w:trPr>
        <w:tc>
          <w:tcPr>
            <w:tcW w:w="1249"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科学研究</w:t>
            </w:r>
          </w:p>
        </w:tc>
        <w:tc>
          <w:tcPr>
            <w:tcW w:w="4485" w:type="dxa"/>
            <w:gridSpan w:val="4"/>
            <w:tcBorders>
              <w:top w:val="single" w:color="auto" w:sz="4" w:space="0"/>
              <w:left w:val="single" w:color="auto" w:sz="4" w:space="0"/>
              <w:bottom w:val="single" w:color="auto" w:sz="4" w:space="0"/>
              <w:right w:val="single" w:color="auto" w:sz="4" w:space="0"/>
            </w:tcBorders>
            <w:vAlign w:val="center"/>
          </w:tcPr>
          <w:p>
            <w:pPr>
              <w:pStyle w:val="4"/>
              <w:numPr>
                <w:ilvl w:val="0"/>
                <w:numId w:val="0"/>
              </w:numPr>
              <w:spacing w:line="480" w:lineRule="atLeast"/>
              <w:rPr>
                <w:rFonts w:ascii="Times New Roman" w:hAnsi="Times New Roman" w:eastAsia="仿宋" w:cs="Times New Roman"/>
                <w:sz w:val="24"/>
                <w:szCs w:val="24"/>
              </w:rPr>
            </w:pPr>
            <w:r>
              <w:rPr>
                <w:rFonts w:hint="eastAsia" w:ascii="仿宋" w:hAnsi="仿宋" w:eastAsia="仿宋" w:cs="仿宋"/>
                <w:b w:val="0"/>
                <w:bCs w:val="0"/>
                <w:kern w:val="0"/>
                <w:sz w:val="24"/>
                <w:szCs w:val="24"/>
                <w:lang w:val="en-US" w:eastAsia="zh-CN" w:bidi="ar-SA"/>
              </w:rPr>
              <w:t>主持省、部级以上科研项目或教改项目；积极开展科学研究。聘期内在本学科发表较高水平科研论文。</w:t>
            </w:r>
          </w:p>
        </w:tc>
        <w:tc>
          <w:tcPr>
            <w:tcW w:w="7760" w:type="dxa"/>
            <w:gridSpan w:val="4"/>
            <w:tcBorders>
              <w:top w:val="single" w:color="auto" w:sz="4" w:space="0"/>
              <w:left w:val="single" w:color="auto" w:sz="4" w:space="0"/>
              <w:bottom w:val="single" w:color="auto" w:sz="4" w:space="0"/>
              <w:right w:val="single" w:color="auto" w:sz="4" w:space="0"/>
            </w:tcBorders>
            <w:vAlign w:val="center"/>
          </w:tcPr>
          <w:p>
            <w:pPr>
              <w:pStyle w:val="8"/>
              <w:spacing w:before="0" w:beforeAutospacing="0" w:after="0" w:afterAutospacing="0" w:line="320" w:lineRule="exac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2014-2016年，作为课题骨干申请立项了1项“十三五国家重点研发计划”，获批湖北省科技支撑项目1项。主持动物营养学国家重点实验室开放项目1项，“湖北省重点实验室开放课题”1项，华中农业大学自主科技创新项目1项，高校重点引智项目1项。结题1项“湖北省公益性科技项目”和1项“动物营养学国家重点实验室开放课题”。参与湖北省自然科学基金人才团队项目“猪的营养调控与饲料安全”1项。</w:t>
            </w:r>
          </w:p>
          <w:p>
            <w:pPr>
              <w:pStyle w:val="8"/>
              <w:spacing w:before="0" w:beforeAutospacing="0" w:after="0" w:afterAutospacing="0" w:line="320" w:lineRule="exac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以第一作者或通讯作者发表权威期刊论文20篇，其中SCI论文1篇，国内核心期刊论文10篇，会议论文9篇。</w:t>
            </w:r>
          </w:p>
          <w:p>
            <w:pPr>
              <w:spacing w:after="0"/>
              <w:rPr>
                <w:rFonts w:ascii="Times New Roman" w:hAnsi="Times New Roman" w:eastAsia="仿宋" w:cs="Times New Roman"/>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spacing w:after="0"/>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继续申报国家自然科学基金，发表高水平科研论文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8" w:hRule="exact"/>
          <w:jc w:val="center"/>
        </w:trPr>
        <w:tc>
          <w:tcPr>
            <w:tcW w:w="1249"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学科与人才团队建设</w:t>
            </w:r>
          </w:p>
        </w:tc>
        <w:tc>
          <w:tcPr>
            <w:tcW w:w="4485" w:type="dxa"/>
            <w:gridSpan w:val="4"/>
            <w:tcBorders>
              <w:top w:val="single" w:color="auto" w:sz="4" w:space="0"/>
              <w:left w:val="single" w:color="auto" w:sz="4" w:space="0"/>
              <w:bottom w:val="single" w:color="auto" w:sz="4" w:space="0"/>
              <w:right w:val="single" w:color="auto" w:sz="4" w:space="0"/>
            </w:tcBorders>
            <w:vAlign w:val="center"/>
          </w:tcPr>
          <w:p>
            <w:pPr>
              <w:pStyle w:val="4"/>
              <w:numPr>
                <w:ilvl w:val="0"/>
                <w:numId w:val="0"/>
              </w:numPr>
              <w:spacing w:line="480" w:lineRule="atLeas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积极参与学科、专业建设；指导、培养学科教师。</w:t>
            </w:r>
          </w:p>
          <w:p>
            <w:pPr>
              <w:spacing w:after="0"/>
              <w:rPr>
                <w:rFonts w:ascii="Times New Roman" w:hAnsi="Times New Roman" w:eastAsia="仿宋" w:cs="Times New Roman"/>
                <w:sz w:val="24"/>
                <w:szCs w:val="24"/>
              </w:rPr>
            </w:pPr>
          </w:p>
        </w:tc>
        <w:tc>
          <w:tcPr>
            <w:tcW w:w="7760" w:type="dxa"/>
            <w:gridSpan w:val="4"/>
            <w:tcBorders>
              <w:top w:val="single" w:color="auto" w:sz="4" w:space="0"/>
              <w:left w:val="single" w:color="auto" w:sz="4" w:space="0"/>
              <w:bottom w:val="single" w:color="auto" w:sz="4" w:space="0"/>
              <w:right w:val="single" w:color="auto" w:sz="4" w:space="0"/>
            </w:tcBorders>
            <w:vAlign w:val="center"/>
          </w:tcPr>
          <w:p>
            <w:pPr>
              <w:spacing w:after="0"/>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积极参与学院动科专业学科的建设规划、学科项目建设和评估工作，积极参与动物营养系的专业课程建设、实验室建设和维护管理工作。</w:t>
            </w:r>
          </w:p>
          <w:p>
            <w:pPr>
              <w:spacing w:after="0"/>
              <w:rPr>
                <w:rFonts w:ascii="Times New Roman" w:hAnsi="Times New Roman" w:eastAsia="仿宋" w:cs="Times New Roman"/>
                <w:sz w:val="24"/>
                <w:szCs w:val="24"/>
              </w:rPr>
            </w:pPr>
            <w:r>
              <w:rPr>
                <w:rFonts w:hint="eastAsia" w:ascii="仿宋" w:hAnsi="仿宋" w:eastAsia="仿宋" w:cs="仿宋"/>
                <w:b w:val="0"/>
                <w:bCs w:val="0"/>
                <w:kern w:val="0"/>
                <w:sz w:val="24"/>
                <w:szCs w:val="24"/>
                <w:lang w:val="en-US" w:eastAsia="zh-CN" w:bidi="ar-SA"/>
              </w:rPr>
              <w:t>积极指导年轻教师。</w:t>
            </w:r>
            <w:bookmarkStart w:id="0" w:name="_GoBack"/>
            <w:bookmarkEnd w:id="0"/>
          </w:p>
        </w:tc>
        <w:tc>
          <w:tcPr>
            <w:tcW w:w="1433" w:type="dxa"/>
            <w:tcBorders>
              <w:top w:val="single" w:color="auto" w:sz="4" w:space="0"/>
              <w:left w:val="single" w:color="auto" w:sz="4" w:space="0"/>
              <w:bottom w:val="single" w:color="auto" w:sz="4" w:space="0"/>
              <w:right w:val="single" w:color="auto" w:sz="4" w:space="0"/>
            </w:tcBorders>
            <w:vAlign w:val="center"/>
          </w:tcPr>
          <w:p>
            <w:pPr>
              <w:spacing w:after="0"/>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3" w:hRule="exact"/>
          <w:jc w:val="center"/>
        </w:trPr>
        <w:tc>
          <w:tcPr>
            <w:tcW w:w="1249"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社会服务与公共服务</w:t>
            </w:r>
          </w:p>
        </w:tc>
        <w:tc>
          <w:tcPr>
            <w:tcW w:w="4485" w:type="dxa"/>
            <w:gridSpan w:val="4"/>
            <w:tcBorders>
              <w:top w:val="single" w:color="auto" w:sz="4" w:space="0"/>
              <w:left w:val="single" w:color="auto" w:sz="4" w:space="0"/>
              <w:bottom w:val="single" w:color="auto" w:sz="4" w:space="0"/>
              <w:right w:val="single" w:color="auto" w:sz="4" w:space="0"/>
            </w:tcBorders>
            <w:vAlign w:val="center"/>
          </w:tcPr>
          <w:p>
            <w:pPr>
              <w:spacing w:after="0"/>
              <w:rPr>
                <w:rFonts w:hint="eastAsia" w:ascii="Times New Roman" w:hAnsi="Times New Roman" w:eastAsia="仿宋" w:cs="Times New Roman"/>
                <w:sz w:val="24"/>
                <w:szCs w:val="24"/>
                <w:lang w:val="en-US" w:eastAsia="zh-CN"/>
              </w:rPr>
            </w:pPr>
            <w:r>
              <w:rPr>
                <w:rFonts w:hint="eastAsia" w:ascii="仿宋" w:hAnsi="仿宋" w:eastAsia="仿宋" w:cs="仿宋"/>
                <w:b w:val="0"/>
                <w:bCs w:val="0"/>
                <w:kern w:val="0"/>
                <w:sz w:val="24"/>
                <w:szCs w:val="24"/>
                <w:lang w:val="en-US" w:eastAsia="zh-CN" w:bidi="ar-SA"/>
              </w:rPr>
              <w:t>积极参加社会服务活动</w:t>
            </w:r>
          </w:p>
        </w:tc>
        <w:tc>
          <w:tcPr>
            <w:tcW w:w="7760" w:type="dxa"/>
            <w:gridSpan w:val="4"/>
            <w:tcBorders>
              <w:top w:val="single" w:color="auto" w:sz="4" w:space="0"/>
              <w:left w:val="single" w:color="auto" w:sz="4" w:space="0"/>
              <w:bottom w:val="single" w:color="auto" w:sz="4" w:space="0"/>
              <w:right w:val="single" w:color="auto" w:sz="4" w:space="0"/>
            </w:tcBorders>
            <w:vAlign w:val="center"/>
          </w:tcPr>
          <w:p>
            <w:pPr>
              <w:spacing w:after="0"/>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2</w:t>
            </w:r>
            <w:r>
              <w:rPr>
                <w:rFonts w:hint="eastAsia" w:ascii="仿宋" w:hAnsi="仿宋" w:eastAsia="仿宋" w:cs="仿宋"/>
                <w:b w:val="0"/>
                <w:bCs w:val="0"/>
                <w:kern w:val="0"/>
                <w:sz w:val="24"/>
                <w:szCs w:val="24"/>
                <w:lang w:val="en-US" w:eastAsia="zh-CN" w:bidi="ar-SA"/>
              </w:rPr>
              <w:t>016年-2017年以省级科技特派员负责人身份与湖北省恩施金欣农业发展有限公司对接进行科技服务；对武汉牧饲生物高科技有限责任公司进行生物发酵饲料新产品研发的科技指导；对深圳红瑞公司进行饲料配方方面的技术指导。</w:t>
            </w:r>
          </w:p>
        </w:tc>
        <w:tc>
          <w:tcPr>
            <w:tcW w:w="1433" w:type="dxa"/>
            <w:tcBorders>
              <w:top w:val="single" w:color="auto" w:sz="4" w:space="0"/>
              <w:left w:val="single" w:color="auto" w:sz="4" w:space="0"/>
              <w:bottom w:val="single" w:color="auto" w:sz="4" w:space="0"/>
              <w:right w:val="single" w:color="auto" w:sz="4" w:space="0"/>
            </w:tcBorders>
            <w:vAlign w:val="center"/>
          </w:tcPr>
          <w:p>
            <w:pPr>
              <w:spacing w:after="0"/>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exact"/>
          <w:jc w:val="center"/>
        </w:trPr>
        <w:tc>
          <w:tcPr>
            <w:tcW w:w="1249"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各级单位</w:t>
            </w:r>
          </w:p>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审核意见</w:t>
            </w:r>
          </w:p>
        </w:tc>
        <w:tc>
          <w:tcPr>
            <w:tcW w:w="4485" w:type="dxa"/>
            <w:gridSpan w:val="4"/>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系（教研室）</w:t>
            </w:r>
          </w:p>
        </w:tc>
        <w:tc>
          <w:tcPr>
            <w:tcW w:w="7760" w:type="dxa"/>
            <w:gridSpan w:val="4"/>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学院（部）</w:t>
            </w:r>
          </w:p>
        </w:tc>
        <w:tc>
          <w:tcPr>
            <w:tcW w:w="1433"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评估委员会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7" w:hRule="exact"/>
          <w:jc w:val="center"/>
        </w:trPr>
        <w:tc>
          <w:tcPr>
            <w:tcW w:w="1249"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r>
              <w:rPr>
                <w:rFonts w:ascii="Times New Roman" w:hAnsi="黑体" w:eastAsia="黑体" w:cs="Times New Roman"/>
                <w:sz w:val="24"/>
                <w:szCs w:val="24"/>
              </w:rPr>
              <w:t>评估意见</w:t>
            </w:r>
          </w:p>
        </w:tc>
        <w:tc>
          <w:tcPr>
            <w:tcW w:w="4485" w:type="dxa"/>
            <w:gridSpan w:val="4"/>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p>
        </w:tc>
        <w:tc>
          <w:tcPr>
            <w:tcW w:w="7760" w:type="dxa"/>
            <w:gridSpan w:val="4"/>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9" w:hRule="exact"/>
          <w:jc w:val="center"/>
        </w:trPr>
        <w:tc>
          <w:tcPr>
            <w:tcW w:w="1249"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后期工作</w:t>
            </w:r>
          </w:p>
          <w:p>
            <w:pPr>
              <w:spacing w:after="0"/>
              <w:jc w:val="center"/>
              <w:rPr>
                <w:rFonts w:ascii="Times New Roman" w:hAnsi="Times New Roman" w:eastAsia="仿宋" w:cs="Times New Roman"/>
                <w:sz w:val="24"/>
                <w:szCs w:val="24"/>
              </w:rPr>
            </w:pPr>
            <w:r>
              <w:rPr>
                <w:rFonts w:ascii="Times New Roman" w:hAnsi="黑体" w:eastAsia="黑体" w:cs="Times New Roman"/>
                <w:sz w:val="24"/>
                <w:szCs w:val="24"/>
              </w:rPr>
              <w:t>建议</w:t>
            </w:r>
          </w:p>
        </w:tc>
        <w:tc>
          <w:tcPr>
            <w:tcW w:w="4485" w:type="dxa"/>
            <w:gridSpan w:val="4"/>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p>
        </w:tc>
        <w:tc>
          <w:tcPr>
            <w:tcW w:w="7760" w:type="dxa"/>
            <w:gridSpan w:val="4"/>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7" w:hRule="exact"/>
          <w:jc w:val="center"/>
        </w:trPr>
        <w:tc>
          <w:tcPr>
            <w:tcW w:w="1249"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负责人签名单位盖章</w:t>
            </w:r>
          </w:p>
        </w:tc>
        <w:tc>
          <w:tcPr>
            <w:tcW w:w="4485" w:type="dxa"/>
            <w:gridSpan w:val="4"/>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r>
              <w:rPr>
                <w:rFonts w:ascii="Times New Roman" w:hAnsi="仿宋" w:eastAsia="仿宋" w:cs="Times New Roman"/>
                <w:sz w:val="24"/>
                <w:szCs w:val="24"/>
              </w:rPr>
              <w:t>签名：</w:t>
            </w:r>
            <w:r>
              <w:rPr>
                <w:rFonts w:hint="eastAsia" w:ascii="Times New Roman" w:hAnsi="仿宋" w:eastAsia="仿宋" w:cs="Times New Roman"/>
                <w:sz w:val="24"/>
                <w:szCs w:val="24"/>
              </w:rPr>
              <w:t xml:space="preserve">                     </w:t>
            </w:r>
            <w:r>
              <w:rPr>
                <w:rFonts w:ascii="Times New Roman" w:hAnsi="仿宋" w:eastAsia="仿宋" w:cs="Times New Roman"/>
                <w:sz w:val="24"/>
                <w:szCs w:val="24"/>
              </w:rPr>
              <w:t>日期：</w:t>
            </w:r>
          </w:p>
        </w:tc>
        <w:tc>
          <w:tcPr>
            <w:tcW w:w="7760" w:type="dxa"/>
            <w:gridSpan w:val="4"/>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r>
              <w:rPr>
                <w:rFonts w:ascii="Times New Roman" w:hAnsi="仿宋" w:eastAsia="仿宋" w:cs="Times New Roman"/>
                <w:sz w:val="24"/>
                <w:szCs w:val="24"/>
              </w:rPr>
              <w:t>公章：</w:t>
            </w:r>
            <w:r>
              <w:rPr>
                <w:rFonts w:hint="eastAsia" w:ascii="Times New Roman" w:hAnsi="仿宋" w:eastAsia="仿宋" w:cs="Times New Roman"/>
                <w:sz w:val="24"/>
                <w:szCs w:val="24"/>
              </w:rPr>
              <w:t xml:space="preserve">                             </w:t>
            </w:r>
            <w:r>
              <w:rPr>
                <w:rFonts w:ascii="Times New Roman" w:hAnsi="仿宋" w:eastAsia="仿宋" w:cs="Times New Roman"/>
                <w:sz w:val="24"/>
                <w:szCs w:val="24"/>
              </w:rPr>
              <w:t>日期：</w:t>
            </w:r>
          </w:p>
        </w:tc>
        <w:tc>
          <w:tcPr>
            <w:tcW w:w="1433" w:type="dxa"/>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r>
              <w:rPr>
                <w:rFonts w:ascii="Times New Roman" w:hAnsi="仿宋" w:eastAsia="仿宋" w:cs="Times New Roman"/>
                <w:sz w:val="24"/>
                <w:szCs w:val="24"/>
              </w:rPr>
              <w:t>公章：</w:t>
            </w:r>
            <w:r>
              <w:rPr>
                <w:rFonts w:hint="eastAsia" w:ascii="Times New Roman" w:hAnsi="仿宋" w:eastAsia="仿宋" w:cs="Times New Roman"/>
                <w:sz w:val="24"/>
                <w:szCs w:val="24"/>
              </w:rPr>
              <w:t xml:space="preserve">                      </w:t>
            </w:r>
            <w:r>
              <w:rPr>
                <w:rFonts w:ascii="Times New Roman" w:hAnsi="仿宋" w:eastAsia="仿宋" w:cs="Times New Roman"/>
                <w:sz w:val="24"/>
                <w:szCs w:val="24"/>
              </w:rPr>
              <w:t>日期：</w:t>
            </w:r>
          </w:p>
        </w:tc>
      </w:tr>
    </w:tbl>
    <w:p>
      <w:pPr>
        <w:spacing w:after="0" w:line="360" w:lineRule="auto"/>
        <w:rPr>
          <w:rFonts w:ascii="Times New Roman" w:hAnsi="Times New Roman" w:eastAsia="仿宋_GB2312" w:cs="Times New Roman"/>
          <w:sz w:val="28"/>
          <w:szCs w:val="28"/>
        </w:rPr>
      </w:pPr>
    </w:p>
    <w:p>
      <w:pPr>
        <w:spacing w:after="0" w:line="360" w:lineRule="auto"/>
        <w:rPr>
          <w:rFonts w:ascii="Times New Roman" w:hAnsi="Times New Roman" w:eastAsia="仿宋_GB2312" w:cs="Times New Roman"/>
          <w:sz w:val="28"/>
          <w:szCs w:val="28"/>
        </w:rPr>
      </w:pPr>
    </w:p>
    <w:sectPr>
      <w:headerReference r:id="rId3" w:type="default"/>
      <w:pgSz w:w="16838" w:h="11906" w:orient="landscape"/>
      <w:pgMar w:top="1134" w:right="1134" w:bottom="1134"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C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微软雅黑"/>
    <w:panose1 w:val="02010600040101010101"/>
    <w:charset w:val="86"/>
    <w:family w:val="auto"/>
    <w:pitch w:val="default"/>
    <w:sig w:usb0="00000000" w:usb1="00000000" w:usb2="00000010" w:usb3="00000000" w:csb0="0004009F" w:csb1="00000000"/>
  </w:font>
  <w:font w:name="仿宋_GB2312">
    <w:altName w:val="仿宋"/>
    <w:panose1 w:val="00000000000000000000"/>
    <w:charset w:val="00"/>
    <w:family w:val="auto"/>
    <w:pitch w:val="default"/>
    <w:sig w:usb0="00000000" w:usb1="00000000" w:usb2="00000000" w:usb3="00000000" w:csb0="00000000" w:csb1="00000000"/>
  </w:font>
  <w:font w:name="长城仿宋">
    <w:altName w:val="宋体"/>
    <w:panose1 w:val="0201060900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华文中宋">
    <w:altName w:val="宋体"/>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17960"/>
    <w:rsid w:val="0009280E"/>
    <w:rsid w:val="000C06E2"/>
    <w:rsid w:val="000D1792"/>
    <w:rsid w:val="000F4818"/>
    <w:rsid w:val="00106CDD"/>
    <w:rsid w:val="001153CF"/>
    <w:rsid w:val="00124621"/>
    <w:rsid w:val="00180685"/>
    <w:rsid w:val="0018414E"/>
    <w:rsid w:val="0018420D"/>
    <w:rsid w:val="00191521"/>
    <w:rsid w:val="00195F28"/>
    <w:rsid w:val="001C67AE"/>
    <w:rsid w:val="001D558D"/>
    <w:rsid w:val="002025D2"/>
    <w:rsid w:val="00213A6E"/>
    <w:rsid w:val="00214D70"/>
    <w:rsid w:val="002404DB"/>
    <w:rsid w:val="0029409F"/>
    <w:rsid w:val="002B20DB"/>
    <w:rsid w:val="002B70B9"/>
    <w:rsid w:val="002B7544"/>
    <w:rsid w:val="002C65B3"/>
    <w:rsid w:val="0030535B"/>
    <w:rsid w:val="003166B3"/>
    <w:rsid w:val="00320338"/>
    <w:rsid w:val="00323B43"/>
    <w:rsid w:val="00331861"/>
    <w:rsid w:val="00332111"/>
    <w:rsid w:val="0033378E"/>
    <w:rsid w:val="003364FE"/>
    <w:rsid w:val="00352200"/>
    <w:rsid w:val="00356D60"/>
    <w:rsid w:val="00367E50"/>
    <w:rsid w:val="003D37D8"/>
    <w:rsid w:val="003E2A3C"/>
    <w:rsid w:val="003F5595"/>
    <w:rsid w:val="00411227"/>
    <w:rsid w:val="00426133"/>
    <w:rsid w:val="004358AB"/>
    <w:rsid w:val="004400E4"/>
    <w:rsid w:val="0047622C"/>
    <w:rsid w:val="004D1925"/>
    <w:rsid w:val="005252D7"/>
    <w:rsid w:val="005301EE"/>
    <w:rsid w:val="00554B25"/>
    <w:rsid w:val="005A5472"/>
    <w:rsid w:val="005B0027"/>
    <w:rsid w:val="005B27F5"/>
    <w:rsid w:val="005B466F"/>
    <w:rsid w:val="005D4CA0"/>
    <w:rsid w:val="005F5607"/>
    <w:rsid w:val="00600AF5"/>
    <w:rsid w:val="00605A33"/>
    <w:rsid w:val="00610004"/>
    <w:rsid w:val="0063541C"/>
    <w:rsid w:val="006B2106"/>
    <w:rsid w:val="006C4AE5"/>
    <w:rsid w:val="006F340D"/>
    <w:rsid w:val="00700DAA"/>
    <w:rsid w:val="00722225"/>
    <w:rsid w:val="00724482"/>
    <w:rsid w:val="00724931"/>
    <w:rsid w:val="00730A5E"/>
    <w:rsid w:val="00750A46"/>
    <w:rsid w:val="00766594"/>
    <w:rsid w:val="00777ABE"/>
    <w:rsid w:val="007800B9"/>
    <w:rsid w:val="007A30A2"/>
    <w:rsid w:val="007A45E0"/>
    <w:rsid w:val="007C6E94"/>
    <w:rsid w:val="007D0E41"/>
    <w:rsid w:val="007D2A99"/>
    <w:rsid w:val="007E033C"/>
    <w:rsid w:val="007F61F2"/>
    <w:rsid w:val="00810FD8"/>
    <w:rsid w:val="00851ECA"/>
    <w:rsid w:val="00887CA3"/>
    <w:rsid w:val="008A65A2"/>
    <w:rsid w:val="008A694A"/>
    <w:rsid w:val="008B561E"/>
    <w:rsid w:val="008B70D7"/>
    <w:rsid w:val="008B7726"/>
    <w:rsid w:val="008C7503"/>
    <w:rsid w:val="008D6781"/>
    <w:rsid w:val="00904059"/>
    <w:rsid w:val="00922B48"/>
    <w:rsid w:val="009263F4"/>
    <w:rsid w:val="009443E0"/>
    <w:rsid w:val="009555B3"/>
    <w:rsid w:val="00973924"/>
    <w:rsid w:val="00974E49"/>
    <w:rsid w:val="0097690B"/>
    <w:rsid w:val="0099132C"/>
    <w:rsid w:val="009A2806"/>
    <w:rsid w:val="009C7C1C"/>
    <w:rsid w:val="009E55FA"/>
    <w:rsid w:val="009F2BC3"/>
    <w:rsid w:val="00A12DE4"/>
    <w:rsid w:val="00A83680"/>
    <w:rsid w:val="00AD11A7"/>
    <w:rsid w:val="00AF05C0"/>
    <w:rsid w:val="00B12593"/>
    <w:rsid w:val="00B14AE2"/>
    <w:rsid w:val="00B25A19"/>
    <w:rsid w:val="00B37B77"/>
    <w:rsid w:val="00B66335"/>
    <w:rsid w:val="00B8321A"/>
    <w:rsid w:val="00B87BAE"/>
    <w:rsid w:val="00C610E0"/>
    <w:rsid w:val="00C74A45"/>
    <w:rsid w:val="00C92526"/>
    <w:rsid w:val="00C96EAC"/>
    <w:rsid w:val="00CB0304"/>
    <w:rsid w:val="00CB31FF"/>
    <w:rsid w:val="00D27322"/>
    <w:rsid w:val="00D31D50"/>
    <w:rsid w:val="00D3745F"/>
    <w:rsid w:val="00D80CB3"/>
    <w:rsid w:val="00D917B8"/>
    <w:rsid w:val="00DA00C9"/>
    <w:rsid w:val="00DA3AD7"/>
    <w:rsid w:val="00DA69F1"/>
    <w:rsid w:val="00DE2CC4"/>
    <w:rsid w:val="00DE6EDD"/>
    <w:rsid w:val="00E05518"/>
    <w:rsid w:val="00E2280A"/>
    <w:rsid w:val="00E33017"/>
    <w:rsid w:val="00E36A61"/>
    <w:rsid w:val="00E76F86"/>
    <w:rsid w:val="00EC7F16"/>
    <w:rsid w:val="00F2459E"/>
    <w:rsid w:val="00F27B1E"/>
    <w:rsid w:val="00F35923"/>
    <w:rsid w:val="00F53ED9"/>
    <w:rsid w:val="00F71E38"/>
    <w:rsid w:val="00FC3AB4"/>
    <w:rsid w:val="00FD141D"/>
    <w:rsid w:val="00FE6CB5"/>
    <w:rsid w:val="00FF1829"/>
    <w:rsid w:val="01443CF3"/>
    <w:rsid w:val="02AD2E50"/>
    <w:rsid w:val="0E3D471F"/>
    <w:rsid w:val="0E972B29"/>
    <w:rsid w:val="13CB25C9"/>
    <w:rsid w:val="17114954"/>
    <w:rsid w:val="174019DB"/>
    <w:rsid w:val="17E3563B"/>
    <w:rsid w:val="19E05913"/>
    <w:rsid w:val="1B30218E"/>
    <w:rsid w:val="1DBB2AD5"/>
    <w:rsid w:val="1F721B8A"/>
    <w:rsid w:val="20542274"/>
    <w:rsid w:val="23274178"/>
    <w:rsid w:val="24E80449"/>
    <w:rsid w:val="28081CB3"/>
    <w:rsid w:val="2A3F512D"/>
    <w:rsid w:val="2C5E1A26"/>
    <w:rsid w:val="2D577EFF"/>
    <w:rsid w:val="2D6C586C"/>
    <w:rsid w:val="2EAE582A"/>
    <w:rsid w:val="2FA040F0"/>
    <w:rsid w:val="305525C3"/>
    <w:rsid w:val="348B6666"/>
    <w:rsid w:val="35C72EE5"/>
    <w:rsid w:val="36447D0A"/>
    <w:rsid w:val="376809C1"/>
    <w:rsid w:val="3784336E"/>
    <w:rsid w:val="37D4647F"/>
    <w:rsid w:val="382E5CD9"/>
    <w:rsid w:val="39431FD9"/>
    <w:rsid w:val="3CFC6F0B"/>
    <w:rsid w:val="3DE601B6"/>
    <w:rsid w:val="3F93087A"/>
    <w:rsid w:val="41575B85"/>
    <w:rsid w:val="446971DB"/>
    <w:rsid w:val="45751EED"/>
    <w:rsid w:val="4575395A"/>
    <w:rsid w:val="48DB742B"/>
    <w:rsid w:val="49061DCF"/>
    <w:rsid w:val="4B467510"/>
    <w:rsid w:val="4DB27EED"/>
    <w:rsid w:val="4E272A54"/>
    <w:rsid w:val="4ED32174"/>
    <w:rsid w:val="53163B6F"/>
    <w:rsid w:val="54E228F2"/>
    <w:rsid w:val="575A6628"/>
    <w:rsid w:val="5B3E35F1"/>
    <w:rsid w:val="5F923BC6"/>
    <w:rsid w:val="6186534C"/>
    <w:rsid w:val="61D90744"/>
    <w:rsid w:val="626A156F"/>
    <w:rsid w:val="66595FBF"/>
    <w:rsid w:val="67BC000F"/>
    <w:rsid w:val="68812503"/>
    <w:rsid w:val="68E57FC7"/>
    <w:rsid w:val="68FB24D1"/>
    <w:rsid w:val="6D1014E5"/>
    <w:rsid w:val="6D3776F0"/>
    <w:rsid w:val="72751DA4"/>
    <w:rsid w:val="73F61ED3"/>
    <w:rsid w:val="74D83452"/>
    <w:rsid w:val="76062AA7"/>
    <w:rsid w:val="76AD4B4D"/>
    <w:rsid w:val="7C970486"/>
    <w:rsid w:val="7F7B4B48"/>
    <w:rsid w:val="7FA03E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9">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8"/>
    <w:unhideWhenUsed/>
    <w:qFormat/>
    <w:uiPriority w:val="99"/>
    <w:rPr>
      <w:b/>
      <w:bCs/>
    </w:rPr>
  </w:style>
  <w:style w:type="paragraph" w:styleId="3">
    <w:name w:val="annotation text"/>
    <w:basedOn w:val="1"/>
    <w:link w:val="17"/>
    <w:unhideWhenUsed/>
    <w:qFormat/>
    <w:uiPriority w:val="99"/>
  </w:style>
  <w:style w:type="paragraph" w:styleId="4">
    <w:name w:val="List 2"/>
    <w:basedOn w:val="1"/>
    <w:unhideWhenUsed/>
    <w:uiPriority w:val="99"/>
    <w:pPr>
      <w:ind w:left="100" w:leftChars="200" w:hanging="200" w:hangingChars="200"/>
    </w:pPr>
  </w:style>
  <w:style w:type="paragraph" w:styleId="5">
    <w:name w:val="Balloon Text"/>
    <w:basedOn w:val="1"/>
    <w:link w:val="15"/>
    <w:unhideWhenUsed/>
    <w:uiPriority w:val="99"/>
    <w:pPr>
      <w:spacing w:after="0"/>
    </w:pPr>
    <w:rPr>
      <w:sz w:val="18"/>
      <w:szCs w:val="18"/>
    </w:rPr>
  </w:style>
  <w:style w:type="paragraph" w:styleId="6">
    <w:name w:val="footer"/>
    <w:basedOn w:val="1"/>
    <w:link w:val="14"/>
    <w:unhideWhenUsed/>
    <w:qFormat/>
    <w:uiPriority w:val="99"/>
    <w:pPr>
      <w:tabs>
        <w:tab w:val="center" w:pos="4153"/>
        <w:tab w:val="right" w:pos="8306"/>
      </w:tabs>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annotation reference"/>
    <w:basedOn w:val="9"/>
    <w:unhideWhenUsed/>
    <w:qFormat/>
    <w:uiPriority w:val="99"/>
    <w:rPr>
      <w:sz w:val="21"/>
      <w:szCs w:val="21"/>
    </w:rPr>
  </w:style>
  <w:style w:type="table" w:styleId="12">
    <w:name w:val="Table Grid"/>
    <w:basedOn w:val="11"/>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页眉 Char"/>
    <w:basedOn w:val="9"/>
    <w:link w:val="7"/>
    <w:qFormat/>
    <w:uiPriority w:val="99"/>
    <w:rPr>
      <w:rFonts w:ascii="Tahoma" w:hAnsi="Tahoma"/>
      <w:sz w:val="18"/>
      <w:szCs w:val="18"/>
    </w:rPr>
  </w:style>
  <w:style w:type="character" w:customStyle="1" w:styleId="14">
    <w:name w:val="页脚 Char"/>
    <w:basedOn w:val="9"/>
    <w:link w:val="6"/>
    <w:qFormat/>
    <w:uiPriority w:val="99"/>
    <w:rPr>
      <w:rFonts w:ascii="Tahoma" w:hAnsi="Tahoma"/>
      <w:sz w:val="18"/>
      <w:szCs w:val="18"/>
    </w:rPr>
  </w:style>
  <w:style w:type="character" w:customStyle="1" w:styleId="15">
    <w:name w:val="批注框文本 Char"/>
    <w:basedOn w:val="9"/>
    <w:link w:val="5"/>
    <w:semiHidden/>
    <w:qFormat/>
    <w:uiPriority w:val="99"/>
    <w:rPr>
      <w:rFonts w:ascii="Tahoma" w:hAnsi="Tahoma"/>
      <w:sz w:val="18"/>
      <w:szCs w:val="18"/>
    </w:rPr>
  </w:style>
  <w:style w:type="paragraph" w:customStyle="1" w:styleId="16">
    <w:name w:val="List Paragraph"/>
    <w:basedOn w:val="1"/>
    <w:qFormat/>
    <w:uiPriority w:val="34"/>
    <w:pPr>
      <w:ind w:firstLine="420" w:firstLineChars="200"/>
    </w:pPr>
  </w:style>
  <w:style w:type="character" w:customStyle="1" w:styleId="17">
    <w:name w:val="批注文字 Char"/>
    <w:basedOn w:val="9"/>
    <w:link w:val="3"/>
    <w:semiHidden/>
    <w:qFormat/>
    <w:uiPriority w:val="99"/>
    <w:rPr>
      <w:rFonts w:ascii="Tahoma" w:hAnsi="Tahoma"/>
    </w:rPr>
  </w:style>
  <w:style w:type="character" w:customStyle="1" w:styleId="18">
    <w:name w:val="批注主题 Char"/>
    <w:basedOn w:val="17"/>
    <w:link w:val="2"/>
    <w:semiHidden/>
    <w:uiPriority w:val="99"/>
    <w:rPr>
      <w:rFonts w:ascii="Tahoma" w:hAnsi="Tahoma"/>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Company>
  <Pages>2</Pages>
  <Words>50</Words>
  <Characters>289</Characters>
  <Lines>2</Lines>
  <Paragraphs>1</Paragraphs>
  <ScaleCrop>false</ScaleCrop>
  <LinksUpToDate>false</LinksUpToDate>
  <CharactersWithSpaces>338</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2017-04-06T00:52:00Z</dcterms:created>
  <dc:creator>Administrator</dc:creator>
  <cp:lastModifiedBy>ThinkPad</cp:lastModifiedBy>
  <cp:lastPrinted>2017-04-05T01:58:00Z</cp:lastPrinted>
  <dcterms:modified xsi:type="dcterms:W3CDTF">2017-04-26T08:51:21Z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