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="00B06659"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FE23BF" w:rsidRPr="008A65A2" w:rsidRDefault="00FE23BF" w:rsidP="00FE23BF">
      <w:pPr>
        <w:spacing w:afterLines="50" w:after="12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>
        <w:rPr>
          <w:rFonts w:ascii="Times New Roman" w:eastAsia="仿宋_GB2312" w:hAnsi="Times New Roman" w:cs="Times New Roman"/>
          <w:sz w:val="24"/>
          <w:szCs w:val="24"/>
        </w:rPr>
        <w:t>动物科技学院</w:t>
      </w:r>
    </w:p>
    <w:tbl>
      <w:tblPr>
        <w:tblStyle w:val="a3"/>
        <w:tblW w:w="14927" w:type="dxa"/>
        <w:jc w:val="center"/>
        <w:tblLook w:val="04A0" w:firstRow="1" w:lastRow="0" w:firstColumn="1" w:lastColumn="0" w:noHBand="0" w:noVBand="1"/>
      </w:tblPr>
      <w:tblGrid>
        <w:gridCol w:w="1034"/>
        <w:gridCol w:w="455"/>
        <w:gridCol w:w="963"/>
        <w:gridCol w:w="1276"/>
        <w:gridCol w:w="1413"/>
        <w:gridCol w:w="729"/>
        <w:gridCol w:w="1259"/>
        <w:gridCol w:w="2122"/>
        <w:gridCol w:w="1701"/>
        <w:gridCol w:w="3975"/>
      </w:tblGrid>
      <w:tr w:rsidR="00FE23BF" w:rsidRPr="008A65A2" w:rsidTr="00C91186">
        <w:trPr>
          <w:trHeight w:hRule="exact" w:val="679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BF" w:rsidRPr="008A65A2" w:rsidRDefault="00FE23BF" w:rsidP="006F398A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BF" w:rsidRPr="008A65A2" w:rsidRDefault="00FE23BF" w:rsidP="006F398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左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BF" w:rsidRPr="008A65A2" w:rsidRDefault="00FE23BF" w:rsidP="006F398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BF" w:rsidRPr="008A65A2" w:rsidRDefault="00FE23BF" w:rsidP="006F398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四级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BF" w:rsidRPr="008A65A2" w:rsidRDefault="00FE23BF" w:rsidP="006F398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BF" w:rsidRPr="008A65A2" w:rsidRDefault="00FE23BF" w:rsidP="006F398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畜牧学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BF" w:rsidRPr="008A65A2" w:rsidRDefault="00FE23BF" w:rsidP="006F398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BF" w:rsidRPr="008A65A2" w:rsidRDefault="00FE23BF" w:rsidP="006F398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动物遗传育种与繁殖</w:t>
            </w:r>
          </w:p>
        </w:tc>
      </w:tr>
      <w:tr w:rsidR="00FE23BF" w:rsidRPr="008A65A2" w:rsidTr="006F398A">
        <w:trPr>
          <w:trHeight w:val="542"/>
          <w:jc w:val="center"/>
        </w:trPr>
        <w:tc>
          <w:tcPr>
            <w:tcW w:w="149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BF" w:rsidRPr="008A65A2" w:rsidRDefault="00FE23BF" w:rsidP="006F398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FE23BF" w:rsidRPr="008A65A2" w:rsidTr="004254F2">
        <w:trPr>
          <w:trHeight w:hRule="exact" w:val="584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BF" w:rsidRPr="008A65A2" w:rsidRDefault="00FE23BF" w:rsidP="006F398A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BF" w:rsidRPr="008A65A2" w:rsidRDefault="00FE23BF" w:rsidP="006F398A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BF" w:rsidRPr="008A65A2" w:rsidRDefault="00FE23BF" w:rsidP="006F398A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中期完成情况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BF" w:rsidRPr="008A65A2" w:rsidRDefault="00FE23BF" w:rsidP="006F398A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存在问题与改进计划</w:t>
            </w:r>
          </w:p>
        </w:tc>
      </w:tr>
      <w:tr w:rsidR="00FE23BF" w:rsidRPr="008A65A2" w:rsidTr="004254F2">
        <w:trPr>
          <w:trHeight w:hRule="exact" w:val="1086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BF" w:rsidRPr="008A65A2" w:rsidRDefault="00FE23BF" w:rsidP="006F398A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BF" w:rsidRPr="008A65A2" w:rsidRDefault="00FE23BF" w:rsidP="006F398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4586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积极参与和实践学风与职业道德建设，治学严谨，勇于奉献，学为人师，行为示范。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BF" w:rsidRPr="008A65A2" w:rsidRDefault="00FE23BF" w:rsidP="006F398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D706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积极参与和实践学风与职业道德建设，治学严谨，勇于奉献，学为人师，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未出现任何学术不端和职业道德问题</w:t>
            </w:r>
            <w:r w:rsidRPr="002D706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BF" w:rsidRPr="008A65A2" w:rsidRDefault="00FE23BF" w:rsidP="006F398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继续加强学风与职业道德建设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FE23BF" w:rsidRPr="008A65A2" w:rsidTr="004254F2">
        <w:trPr>
          <w:trHeight w:hRule="exact" w:val="1967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BF" w:rsidRPr="008A65A2" w:rsidRDefault="00FE23BF" w:rsidP="006F398A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FE23BF" w:rsidRPr="008A65A2" w:rsidRDefault="00FE23BF" w:rsidP="006F398A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BF" w:rsidRPr="008A65A2" w:rsidRDefault="00FE23BF" w:rsidP="006F398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4586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关心学生的学习和生活，在教学活动中对学生进行较全面的思想政治教育。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BF" w:rsidRPr="008A65A2" w:rsidRDefault="00FE23BF" w:rsidP="00971A0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在指导学生专业知识学习的同时，密切关注学生思想动态，防患于未然，对毕业有困难的研究生给予及时的思想和工作辅导，学生均按期顺利毕业，并找到理想工作；</w:t>
            </w:r>
            <w:r w:rsidR="00EA62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同时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积极给学生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传递正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能量，力所能及的帮助学生树立正确的人生观和就业观</w:t>
            </w:r>
            <w:r w:rsidRPr="0094586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BF" w:rsidRPr="008A65A2" w:rsidRDefault="00FE23BF" w:rsidP="006F398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418D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关心学生的学习和生活，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不断为社会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培养德智体美劳全面发展的合格毕业生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FE23BF" w:rsidRPr="008A65A2" w:rsidTr="004254F2">
        <w:trPr>
          <w:trHeight w:hRule="exact" w:val="1980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BF" w:rsidRPr="008A65A2" w:rsidRDefault="00FE23BF" w:rsidP="006F398A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BF" w:rsidRPr="008A65A2" w:rsidRDefault="00FE23BF" w:rsidP="006F398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B6B8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独立、系统地承担</w:t>
            </w:r>
            <w:r w:rsidRPr="003B6B8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3B6B8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门以上本科生或研究生课程的讲授工作，在教学过程中，能根据科学技术的发展，不断改革、更新、充实教学内容，并完成相应课堂讨论、社会实践、毕业设计和论文撰写的指导工作。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BF" w:rsidRPr="008A65A2" w:rsidRDefault="00FE23BF" w:rsidP="00E3528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1060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承担了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本科生猪生产学、畜牧</w:t>
            </w:r>
            <w:r w:rsidRPr="00C1060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概论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、畜牧业经济管理</w:t>
            </w:r>
            <w:r w:rsidRPr="00C1060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等课堂教学以及猪生产学实验课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主持承担</w:t>
            </w:r>
            <w:r w:rsidRPr="00C1060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畜牧学概论</w:t>
            </w:r>
            <w:r w:rsidRPr="00C1060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MOOC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课程建设，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已完成视频录制工作</w:t>
            </w:r>
            <w:r w:rsidR="00B6554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  <w:r w:rsidRPr="00C1060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</w:t>
            </w:r>
            <w:r w:rsidR="00AA146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本科生</w:t>
            </w:r>
            <w:r w:rsidR="00AA146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15</w:t>
            </w:r>
            <w:r w:rsidR="00AA146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人，</w:t>
            </w:r>
            <w:r w:rsidR="00E3528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校</w:t>
            </w:r>
            <w:r w:rsidRPr="00C1060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大学生</w:t>
            </w:r>
            <w:r w:rsidRPr="00C1060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SRF</w:t>
            </w:r>
            <w:r w:rsidR="00E3528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</w:t>
            </w:r>
            <w:r w:rsidR="00E3528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C1060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Pr="009C630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获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校</w:t>
            </w:r>
            <w:r w:rsidRPr="009C630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教学质量三等奖</w:t>
            </w:r>
            <w:r w:rsidRPr="009C630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次。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BF" w:rsidRPr="008A65A2" w:rsidRDefault="00FE23BF" w:rsidP="006F398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教学质量仍有待提高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，后期将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完成畜牧概论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MOOC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课程上线，争取入选国家大学生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MOOC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课程。</w:t>
            </w:r>
          </w:p>
        </w:tc>
      </w:tr>
      <w:tr w:rsidR="00FE23BF" w:rsidRPr="008A65A2" w:rsidTr="004254F2">
        <w:trPr>
          <w:trHeight w:hRule="exact" w:val="1143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BF" w:rsidRPr="008A65A2" w:rsidRDefault="00FE23BF" w:rsidP="006F398A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BF" w:rsidRPr="008A65A2" w:rsidRDefault="00FE23BF" w:rsidP="006F398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B6B8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进一步提高博士、硕士研究生和本科生的培养质量，争取获省级以上优秀论文。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BF" w:rsidRPr="008A65A2" w:rsidRDefault="00A751B3" w:rsidP="00B8388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作为指导教师</w:t>
            </w:r>
            <w:r w:rsidR="001F784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培养</w:t>
            </w:r>
            <w:r w:rsidR="001F7848">
              <w:rPr>
                <w:rFonts w:ascii="Times New Roman" w:eastAsia="仿宋" w:hAnsi="Times New Roman" w:cs="Times New Roman"/>
                <w:sz w:val="24"/>
                <w:szCs w:val="24"/>
              </w:rPr>
              <w:t>毕业</w:t>
            </w:r>
            <w:r w:rsidR="00FE23BF">
              <w:rPr>
                <w:rFonts w:ascii="Times New Roman" w:eastAsia="仿宋" w:hAnsi="Times New Roman" w:cs="Times New Roman"/>
                <w:sz w:val="24"/>
                <w:szCs w:val="24"/>
              </w:rPr>
              <w:t>博士生</w:t>
            </w:r>
            <w:r w:rsidR="00FE23B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FE23B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人，毕业硕士生</w:t>
            </w:r>
            <w:r w:rsidR="00FE23B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 w:rsidR="00FE23B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人，</w:t>
            </w:r>
            <w:r w:rsidR="002826E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毕业</w:t>
            </w:r>
            <w:r w:rsidR="00B8388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博士生为</w:t>
            </w:r>
            <w:r w:rsidR="00FE23B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第一作者发表</w:t>
            </w:r>
            <w:r w:rsidR="00B8388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 w:rsidR="00FE23B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论文</w:t>
            </w:r>
            <w:r w:rsidR="00FE23B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="00FE23B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</w:t>
            </w:r>
            <w:r w:rsidR="00B8388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（累计影响因子</w:t>
            </w:r>
            <w:r w:rsidR="00B8388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7.2</w:t>
            </w:r>
            <w:r w:rsidR="00B8388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  <w:r w:rsidR="00FE23B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BF" w:rsidRPr="00F67B4F" w:rsidRDefault="002826E2" w:rsidP="006F398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进一步</w:t>
            </w:r>
            <w:r w:rsidR="00FE23BF">
              <w:rPr>
                <w:rFonts w:ascii="Times New Roman" w:eastAsia="仿宋" w:hAnsi="Times New Roman" w:cs="Times New Roman"/>
                <w:sz w:val="24"/>
                <w:szCs w:val="24"/>
              </w:rPr>
              <w:t>提高研究生产出水平和培养质量</w:t>
            </w:r>
            <w:r w:rsidR="00FE23B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FE23BF">
              <w:rPr>
                <w:rFonts w:ascii="Times New Roman" w:eastAsia="仿宋" w:hAnsi="Times New Roman" w:cs="Times New Roman"/>
                <w:sz w:val="24"/>
                <w:szCs w:val="24"/>
              </w:rPr>
              <w:t>争取获得省部级优秀论文</w:t>
            </w:r>
            <w:r w:rsidR="00FE23B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FE23BF" w:rsidRPr="008E0357" w:rsidTr="0000362D">
        <w:trPr>
          <w:trHeight w:hRule="exact" w:val="2560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BF" w:rsidRPr="008A65A2" w:rsidRDefault="00FE23BF" w:rsidP="006F398A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科学研究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BF" w:rsidRPr="008A65A2" w:rsidRDefault="00FE23BF" w:rsidP="006F398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B6B8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积极申报国家、省部级科研项目，在稳定的研究方向上至少主持</w:t>
            </w:r>
            <w:r w:rsidRPr="003B6B8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1-2</w:t>
            </w:r>
            <w:r w:rsidR="007D43A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项省、部级及以上科研项目</w:t>
            </w:r>
            <w:r w:rsidRPr="003B6B8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，发表高质量的研究论文</w:t>
            </w:r>
            <w:r w:rsidRPr="003B6B8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Pr="003B6B8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篇以上。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BF" w:rsidRPr="008A65A2" w:rsidRDefault="00FE23BF" w:rsidP="0000362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主持国家科技支撑计划项目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 w:rsidR="003A55A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国家转基因重大专项任务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 w:rsidR="003A55A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3A55A6" w:rsidRPr="00F223B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F223B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863</w:t>
            </w:r>
            <w:r w:rsidRPr="00F223B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子课题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 w:rsidR="003A55A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省</w:t>
            </w:r>
            <w:r w:rsidR="003A55A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农业创新岗位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课题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项，参加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863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课题和国家科技支撑计划课题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="003A55A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 w:rsidR="009043D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以通讯作者在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Cell Signal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proofErr w:type="spellStart"/>
            <w:r w:rsidR="00C146B7" w:rsidRPr="00C146B7">
              <w:rPr>
                <w:rFonts w:ascii="Times New Roman" w:eastAsia="仿宋" w:hAnsi="Times New Roman" w:cs="Times New Roman"/>
                <w:sz w:val="24"/>
                <w:szCs w:val="24"/>
              </w:rPr>
              <w:t>Sci</w:t>
            </w:r>
            <w:proofErr w:type="spellEnd"/>
            <w:r w:rsidR="00C146B7" w:rsidRPr="00C146B7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Rep</w:t>
            </w:r>
            <w:r w:rsidR="00C146B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proofErr w:type="spellStart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Plos</w:t>
            </w:r>
            <w:proofErr w:type="spellEnd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One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proofErr w:type="spellStart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Int</w:t>
            </w:r>
            <w:proofErr w:type="spellEnd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J </w:t>
            </w:r>
            <w:proofErr w:type="spellStart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Mol</w:t>
            </w:r>
            <w:proofErr w:type="spellEnd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proofErr w:type="spellEnd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BBRC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等杂志发表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论文</w:t>
            </w:r>
            <w:r w:rsidR="00C146B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篇；以第一完成人申请和</w:t>
            </w:r>
            <w:r w:rsidRPr="00526F9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授权国家发明专利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各</w:t>
            </w:r>
            <w:r w:rsidRPr="00526F9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526F9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  <w:r w:rsidRPr="008233B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以主要完成人</w:t>
            </w:r>
            <w:r w:rsidRPr="008233B9">
              <w:rPr>
                <w:rFonts w:ascii="Times New Roman" w:eastAsia="仿宋" w:hAnsi="Times New Roman" w:cs="Times New Roman"/>
                <w:sz w:val="24"/>
                <w:szCs w:val="24"/>
              </w:rPr>
              <w:t>申请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和</w:t>
            </w:r>
            <w:r w:rsidRPr="00A63F4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授权</w:t>
            </w:r>
            <w:r w:rsidRPr="008233B9">
              <w:rPr>
                <w:rFonts w:ascii="Times New Roman" w:eastAsia="仿宋" w:hAnsi="Times New Roman" w:cs="Times New Roman"/>
                <w:sz w:val="24"/>
                <w:szCs w:val="24"/>
              </w:rPr>
              <w:t>发明专利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各</w:t>
            </w:r>
            <w:r w:rsidRPr="008233B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8233B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 w:rsidRPr="008233B9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BF" w:rsidRPr="008A65A2" w:rsidRDefault="00FE23BF" w:rsidP="006F398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在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主持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国家自然科学基金方面仍显不足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，需提高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国家自然科学基金的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申报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质量和命中率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  <w:r w:rsidRPr="00AC329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在科技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成果</w:t>
            </w:r>
            <w:r w:rsidRPr="00AC329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方面，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争取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在高影响因子论文发表方面有所突</w:t>
            </w:r>
            <w:bookmarkStart w:id="0" w:name="_GoBack"/>
            <w:bookmarkEnd w:id="0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破。</w:t>
            </w:r>
          </w:p>
        </w:tc>
      </w:tr>
      <w:tr w:rsidR="00FE23BF" w:rsidRPr="008A65A2" w:rsidTr="004254F2">
        <w:trPr>
          <w:trHeight w:hRule="exact" w:val="3108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BF" w:rsidRPr="008A65A2" w:rsidRDefault="00FE23BF" w:rsidP="006F398A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BF" w:rsidRPr="008A65A2" w:rsidRDefault="00FE23BF" w:rsidP="006F398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B6B8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积极参与畜牧学一级学科国家重点学科建设与发展规划等事项。积极参与猪遗传育种教学科研创新团队的建设，提高团队教学和研究水平。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BF" w:rsidRPr="008A65A2" w:rsidRDefault="00B65549" w:rsidP="009043D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参与了教育部第四轮畜牧</w:t>
            </w:r>
            <w:r w:rsidR="00FE23BF" w:rsidRPr="008233B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学科评估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Pr="008233B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国家家畜工程技术研究中心评估</w:t>
            </w:r>
            <w:r w:rsidR="00FE23BF" w:rsidRPr="008233B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、农业部猪遗传育种重点实验室评估、</w:t>
            </w:r>
            <w:r w:rsidR="005404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农业动物遗传育种与繁殖</w:t>
            </w:r>
            <w:r w:rsidR="00FE23B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教育部重点实验室评估</w:t>
            </w:r>
            <w:r w:rsidR="00FE23BF" w:rsidRPr="008233B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以及</w:t>
            </w:r>
            <w:r w:rsidR="00FE23B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我校</w:t>
            </w:r>
            <w:r w:rsidR="00FE23BF" w:rsidRPr="00C33EC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动物科学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本科</w:t>
            </w:r>
            <w:r w:rsidR="00FE23BF" w:rsidRPr="00C33EC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专业自评报告、实验动物中心功能提升计划建议书等的撰写</w:t>
            </w:r>
            <w:r w:rsidR="004E1ED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  <w:r w:rsidR="009043D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在人才团队建设方面，</w:t>
            </w:r>
            <w:r w:rsidR="00FE23B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目前为</w:t>
            </w:r>
            <w:r w:rsidR="00FE23BF" w:rsidRPr="00033EC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湖北省农业科技创新团队</w:t>
            </w:r>
            <w:r w:rsidR="00FE23B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“</w:t>
            </w:r>
            <w:r w:rsidR="00FE23BF" w:rsidRPr="00033EC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畜禽改良及健康养殖技术</w:t>
            </w:r>
            <w:r w:rsidR="00FE23B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”岗位</w:t>
            </w:r>
            <w:r w:rsidR="00FE23BF" w:rsidRPr="00033EC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成员</w:t>
            </w:r>
            <w:r w:rsidR="004E1ED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，同时</w:t>
            </w:r>
            <w:r w:rsidR="00FE23B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在重大专项支持下，组建了优质转基因猪新品种培育研究团队，建立和完善了猪基因组定点编辑和克隆技术平台</w:t>
            </w:r>
            <w:r w:rsidR="00FE23BF" w:rsidRPr="007E570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BF" w:rsidRPr="008A65A2" w:rsidRDefault="00FE23BF" w:rsidP="006F398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参与畜牧学科和猪遗传育种人才团队建设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争取获得省部级以上人才</w:t>
            </w:r>
            <w:r w:rsidR="00B65549">
              <w:rPr>
                <w:rFonts w:ascii="Times New Roman" w:eastAsia="仿宋" w:hAnsi="Times New Roman" w:cs="Times New Roman"/>
                <w:sz w:val="24"/>
                <w:szCs w:val="24"/>
              </w:rPr>
              <w:t>或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团队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计划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资助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FE23BF" w:rsidRPr="008A65A2" w:rsidTr="0000362D">
        <w:trPr>
          <w:trHeight w:hRule="exact" w:val="3845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BF" w:rsidRPr="008A65A2" w:rsidRDefault="00FE23BF" w:rsidP="006F398A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BF" w:rsidRPr="008A65A2" w:rsidRDefault="00FE23BF" w:rsidP="006F398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B6B8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深入生产一线，积极参与猪育种方面的社会服务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Pr="003B6B8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技术和成果推广，通过与企业合作研究，解决企业在生产中遇到的问题。</w:t>
            </w:r>
            <w:r w:rsidRPr="00EE32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参与“生猪健康养殖”</w:t>
            </w:r>
            <w:r w:rsidRPr="00EE32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2011</w:t>
            </w:r>
            <w:r w:rsidRPr="00EE32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协同创新中心材料撰写与申报、本科招生、培训计划招生等。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BF" w:rsidRPr="008A65A2" w:rsidRDefault="00FE23BF" w:rsidP="009043D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在社会服务方面，担任湖北省科技特派员、广西扬翔集团服务团队成员、浙江天蓬集团院士工作站成员等</w:t>
            </w:r>
            <w:r w:rsidRPr="002D706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开展了</w:t>
            </w:r>
            <w:r w:rsidRPr="00C3670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猪育种方面的社会服务和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成果</w:t>
            </w:r>
            <w:r w:rsidRPr="00C3670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推广，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所服务企业种猪生产水平稳步提升，</w:t>
            </w:r>
            <w:r w:rsidR="0079668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共同</w:t>
            </w:r>
            <w:r w:rsidRPr="00F67B4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制定企业标准</w:t>
            </w:r>
            <w:r w:rsidRPr="00F67B4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Pr="00F67B4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 w:rsidR="0000362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  <w:r w:rsidRPr="008233B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兼任</w:t>
            </w:r>
            <w:r w:rsidR="009043D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转基因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重大专项执行专家组成员、</w:t>
            </w:r>
            <w:r w:rsidR="004254F2" w:rsidRPr="004254F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Biomed Res </w:t>
            </w:r>
            <w:proofErr w:type="spellStart"/>
            <w:r w:rsidR="004254F2" w:rsidRPr="004254F2">
              <w:rPr>
                <w:rFonts w:ascii="Times New Roman" w:eastAsia="仿宋" w:hAnsi="Times New Roman" w:cs="Times New Roman"/>
                <w:sz w:val="24"/>
                <w:szCs w:val="24"/>
              </w:rPr>
              <w:t>Int</w:t>
            </w:r>
            <w:proofErr w:type="spellEnd"/>
            <w:r w:rsidR="009043D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Pr="008233B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Advances in Biology</w:t>
            </w:r>
            <w:r w:rsidRPr="008233B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杂志编委及</w:t>
            </w:r>
            <w:proofErr w:type="spellStart"/>
            <w:r w:rsidR="004254F2" w:rsidRPr="004254F2">
              <w:rPr>
                <w:rFonts w:ascii="Times New Roman" w:eastAsia="仿宋" w:hAnsi="Times New Roman" w:cs="Times New Roman"/>
                <w:sz w:val="24"/>
                <w:szCs w:val="24"/>
              </w:rPr>
              <w:t>Sci</w:t>
            </w:r>
            <w:proofErr w:type="spellEnd"/>
            <w:r w:rsidR="004254F2" w:rsidRPr="004254F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Rep</w:t>
            </w:r>
            <w:r w:rsidRPr="008233B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Pr="008233B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BMC Genomics</w:t>
            </w:r>
            <w:r w:rsidRPr="008233B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proofErr w:type="spellStart"/>
            <w:r w:rsidRPr="008233B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Int</w:t>
            </w:r>
            <w:proofErr w:type="spellEnd"/>
            <w:r w:rsidRPr="008233B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J </w:t>
            </w:r>
            <w:proofErr w:type="spellStart"/>
            <w:r w:rsidRPr="008233B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Biol</w:t>
            </w:r>
            <w:proofErr w:type="spellEnd"/>
            <w:r w:rsidRPr="008233B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8233B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proofErr w:type="spellEnd"/>
            <w:r w:rsidRPr="008233B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等十几种国内外杂志审稿人；</w:t>
            </w:r>
            <w:r w:rsidRPr="000401F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参与了</w:t>
            </w:r>
            <w:r w:rsidR="00903254" w:rsidRPr="000401F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0401F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“十三五”</w:t>
            </w:r>
            <w:r w:rsidR="0090325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国家</w:t>
            </w:r>
            <w:r w:rsidRPr="000401F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转基因重大专项实施方案、农业部“十三五”野外（室外）基地发展规划</w:t>
            </w:r>
            <w:r w:rsidR="0033620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以及</w:t>
            </w:r>
            <w:r w:rsidRPr="009C630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湖北省</w:t>
            </w:r>
            <w:r w:rsidRPr="00A63F4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“十三五”</w:t>
            </w:r>
            <w:r w:rsidRPr="009C630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现代农业科技创新战略研究总体报告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等</w:t>
            </w:r>
            <w:r w:rsidRPr="009C630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的</w:t>
            </w:r>
            <w:r w:rsidRPr="009C630B">
              <w:rPr>
                <w:rFonts w:ascii="Times New Roman" w:eastAsia="仿宋" w:hAnsi="Times New Roman" w:cs="Times New Roman"/>
                <w:sz w:val="24"/>
                <w:szCs w:val="24"/>
              </w:rPr>
              <w:t>撰写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BF" w:rsidRPr="008A65A2" w:rsidRDefault="007A004D" w:rsidP="004B702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继续加强与合作企业的联系，通过合作研究，解决企业在</w:t>
            </w:r>
            <w:r w:rsidR="003F338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猪育种与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生产中遇到的问题</w:t>
            </w:r>
            <w:r w:rsidR="00FE23B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E21C4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同时</w:t>
            </w:r>
            <w:r w:rsidR="00FE23B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争取</w:t>
            </w:r>
            <w:r w:rsidR="008E660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合作</w:t>
            </w:r>
            <w:r w:rsidR="00FE23B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</w:t>
            </w:r>
            <w:r w:rsidR="00FE23BF">
              <w:rPr>
                <w:rFonts w:ascii="Times New Roman" w:eastAsia="仿宋" w:hAnsi="Times New Roman" w:cs="Times New Roman"/>
                <w:sz w:val="24"/>
                <w:szCs w:val="24"/>
              </w:rPr>
              <w:t>鉴定成果</w:t>
            </w:r>
            <w:r w:rsidR="00FE23B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FE23B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项。</w:t>
            </w:r>
          </w:p>
        </w:tc>
      </w:tr>
      <w:tr w:rsidR="00FE23BF" w:rsidRPr="008A65A2" w:rsidTr="004254F2">
        <w:trPr>
          <w:trHeight w:hRule="exact" w:val="714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BF" w:rsidRPr="008A65A2" w:rsidRDefault="00FE23BF" w:rsidP="006F398A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FE23BF" w:rsidRPr="008A65A2" w:rsidRDefault="00FE23BF" w:rsidP="006F398A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BF" w:rsidRPr="008A65A2" w:rsidRDefault="00FE23BF" w:rsidP="006F398A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BF" w:rsidRPr="008A65A2" w:rsidRDefault="00FE23BF" w:rsidP="006F398A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BF" w:rsidRPr="008A65A2" w:rsidRDefault="00FE23BF" w:rsidP="006F398A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FE23BF" w:rsidRPr="008A65A2" w:rsidTr="004254F2">
        <w:trPr>
          <w:trHeight w:hRule="exact" w:val="2840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BF" w:rsidRPr="008A65A2" w:rsidRDefault="00FE23BF" w:rsidP="006F398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BF" w:rsidRPr="008A65A2" w:rsidRDefault="00FE23BF" w:rsidP="006F398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BF" w:rsidRPr="008A65A2" w:rsidRDefault="00FE23BF" w:rsidP="006F398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BF" w:rsidRPr="008A65A2" w:rsidRDefault="00FE23BF" w:rsidP="006F398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E23BF" w:rsidRPr="008A65A2" w:rsidTr="004254F2">
        <w:trPr>
          <w:trHeight w:hRule="exact" w:val="2695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BF" w:rsidRPr="008A65A2" w:rsidRDefault="00FE23BF" w:rsidP="006F398A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后期工作</w:t>
            </w:r>
          </w:p>
          <w:p w:rsidR="00FE23BF" w:rsidRPr="008A65A2" w:rsidRDefault="00FE23BF" w:rsidP="006F398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BF" w:rsidRPr="008A65A2" w:rsidRDefault="00FE23BF" w:rsidP="006F398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BF" w:rsidRPr="008A65A2" w:rsidRDefault="00FE23BF" w:rsidP="006F398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BF" w:rsidRPr="008A65A2" w:rsidRDefault="00FE23BF" w:rsidP="006F398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E23BF" w:rsidRPr="008A65A2" w:rsidTr="004254F2">
        <w:trPr>
          <w:trHeight w:hRule="exact" w:val="2114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BF" w:rsidRPr="008A65A2" w:rsidRDefault="00FE23BF" w:rsidP="006F398A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D0" w:rsidRDefault="009043D0" w:rsidP="006F398A">
            <w:pPr>
              <w:rPr>
                <w:rFonts w:ascii="Times New Roman" w:eastAsia="仿宋" w:hAnsi="仿宋" w:cs="Times New Roman" w:hint="eastAsia"/>
                <w:sz w:val="24"/>
                <w:szCs w:val="24"/>
              </w:rPr>
            </w:pPr>
          </w:p>
          <w:p w:rsidR="009043D0" w:rsidRDefault="009043D0" w:rsidP="006F398A">
            <w:pPr>
              <w:rPr>
                <w:rFonts w:ascii="Times New Roman" w:eastAsia="仿宋" w:hAnsi="仿宋" w:cs="Times New Roman" w:hint="eastAsia"/>
                <w:sz w:val="24"/>
                <w:szCs w:val="24"/>
              </w:rPr>
            </w:pPr>
          </w:p>
          <w:p w:rsidR="00FE23BF" w:rsidRPr="008A65A2" w:rsidRDefault="00FE23BF" w:rsidP="006F398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</w:t>
            </w:r>
            <w:r w:rsidR="009043D0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D0" w:rsidRDefault="009043D0" w:rsidP="006F398A">
            <w:pPr>
              <w:rPr>
                <w:rFonts w:ascii="Times New Roman" w:eastAsia="仿宋" w:hAnsi="仿宋" w:cs="Times New Roman" w:hint="eastAsia"/>
                <w:sz w:val="24"/>
                <w:szCs w:val="24"/>
              </w:rPr>
            </w:pPr>
          </w:p>
          <w:p w:rsidR="009043D0" w:rsidRDefault="009043D0" w:rsidP="006F398A">
            <w:pPr>
              <w:rPr>
                <w:rFonts w:ascii="Times New Roman" w:eastAsia="仿宋" w:hAnsi="仿宋" w:cs="Times New Roman" w:hint="eastAsia"/>
                <w:sz w:val="24"/>
                <w:szCs w:val="24"/>
              </w:rPr>
            </w:pPr>
          </w:p>
          <w:p w:rsidR="00FE23BF" w:rsidRPr="008A65A2" w:rsidRDefault="00FE23BF" w:rsidP="006F398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</w:t>
            </w:r>
            <w:r w:rsidR="009043D0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D0" w:rsidRDefault="009043D0" w:rsidP="006F398A">
            <w:pPr>
              <w:rPr>
                <w:rFonts w:ascii="Times New Roman" w:eastAsia="仿宋" w:hAnsi="仿宋" w:cs="Times New Roman" w:hint="eastAsia"/>
                <w:sz w:val="24"/>
                <w:szCs w:val="24"/>
              </w:rPr>
            </w:pPr>
          </w:p>
          <w:p w:rsidR="009043D0" w:rsidRDefault="009043D0" w:rsidP="006F398A">
            <w:pPr>
              <w:rPr>
                <w:rFonts w:ascii="Times New Roman" w:eastAsia="仿宋" w:hAnsi="仿宋" w:cs="Times New Roman" w:hint="eastAsia"/>
                <w:sz w:val="24"/>
                <w:szCs w:val="24"/>
              </w:rPr>
            </w:pPr>
          </w:p>
          <w:p w:rsidR="00FE23BF" w:rsidRPr="008A65A2" w:rsidRDefault="00FE23BF" w:rsidP="006F398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FE23BF" w:rsidRPr="008A65A2" w:rsidRDefault="00FE23BF" w:rsidP="00FE23BF">
      <w:pPr>
        <w:rPr>
          <w:rFonts w:ascii="Times New Roman" w:eastAsia="仿宋_GB2312" w:hAnsi="Times New Roman" w:cs="Times New Roman"/>
          <w:sz w:val="28"/>
          <w:szCs w:val="28"/>
        </w:rPr>
      </w:pPr>
    </w:p>
    <w:sectPr w:rsidR="00FE23BF" w:rsidRPr="008A65A2" w:rsidSect="00B37B77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22A" w:rsidRDefault="006D322A" w:rsidP="00D80CB3">
      <w:pPr>
        <w:spacing w:after="0"/>
      </w:pPr>
      <w:r>
        <w:separator/>
      </w:r>
    </w:p>
  </w:endnote>
  <w:endnote w:type="continuationSeparator" w:id="0">
    <w:p w:rsidR="006D322A" w:rsidRDefault="006D322A" w:rsidP="00D80C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22A" w:rsidRDefault="006D322A" w:rsidP="00D80CB3">
      <w:pPr>
        <w:spacing w:after="0"/>
      </w:pPr>
      <w:r>
        <w:separator/>
      </w:r>
    </w:p>
  </w:footnote>
  <w:footnote w:type="continuationSeparator" w:id="0">
    <w:p w:rsidR="006D322A" w:rsidRDefault="006D322A" w:rsidP="00D80C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362D"/>
    <w:rsid w:val="0001381F"/>
    <w:rsid w:val="00017960"/>
    <w:rsid w:val="000214CA"/>
    <w:rsid w:val="0003298F"/>
    <w:rsid w:val="0009280E"/>
    <w:rsid w:val="000C06E2"/>
    <w:rsid w:val="000D1792"/>
    <w:rsid w:val="000D6818"/>
    <w:rsid w:val="000F4818"/>
    <w:rsid w:val="00106CDD"/>
    <w:rsid w:val="001153CF"/>
    <w:rsid w:val="00124621"/>
    <w:rsid w:val="001751CD"/>
    <w:rsid w:val="00180685"/>
    <w:rsid w:val="0018414E"/>
    <w:rsid w:val="0018420D"/>
    <w:rsid w:val="00191521"/>
    <w:rsid w:val="00195F28"/>
    <w:rsid w:val="001C67AE"/>
    <w:rsid w:val="001C7915"/>
    <w:rsid w:val="001D558D"/>
    <w:rsid w:val="001F7848"/>
    <w:rsid w:val="002025D2"/>
    <w:rsid w:val="00213A6E"/>
    <w:rsid w:val="00214D70"/>
    <w:rsid w:val="002404DB"/>
    <w:rsid w:val="002826E2"/>
    <w:rsid w:val="0029409F"/>
    <w:rsid w:val="002B20DB"/>
    <w:rsid w:val="002B70B9"/>
    <w:rsid w:val="002B7544"/>
    <w:rsid w:val="002C6369"/>
    <w:rsid w:val="002C65B3"/>
    <w:rsid w:val="002D097F"/>
    <w:rsid w:val="0030535B"/>
    <w:rsid w:val="003166B3"/>
    <w:rsid w:val="00320338"/>
    <w:rsid w:val="00323B43"/>
    <w:rsid w:val="00331861"/>
    <w:rsid w:val="00332111"/>
    <w:rsid w:val="0033378E"/>
    <w:rsid w:val="00336200"/>
    <w:rsid w:val="003364FE"/>
    <w:rsid w:val="00352200"/>
    <w:rsid w:val="00356D60"/>
    <w:rsid w:val="00367E50"/>
    <w:rsid w:val="00394DD6"/>
    <w:rsid w:val="003A55A6"/>
    <w:rsid w:val="003D37D8"/>
    <w:rsid w:val="003E2A3C"/>
    <w:rsid w:val="003F3383"/>
    <w:rsid w:val="00411227"/>
    <w:rsid w:val="0042478F"/>
    <w:rsid w:val="004254F2"/>
    <w:rsid w:val="00426133"/>
    <w:rsid w:val="004358AB"/>
    <w:rsid w:val="004400E4"/>
    <w:rsid w:val="0047622C"/>
    <w:rsid w:val="004B3132"/>
    <w:rsid w:val="004B702C"/>
    <w:rsid w:val="004D1925"/>
    <w:rsid w:val="004E1ED4"/>
    <w:rsid w:val="005252D7"/>
    <w:rsid w:val="005301EE"/>
    <w:rsid w:val="0054044C"/>
    <w:rsid w:val="005526D7"/>
    <w:rsid w:val="00554B25"/>
    <w:rsid w:val="005A5472"/>
    <w:rsid w:val="005B0027"/>
    <w:rsid w:val="005B27F5"/>
    <w:rsid w:val="005B466F"/>
    <w:rsid w:val="005D007B"/>
    <w:rsid w:val="005D4CA0"/>
    <w:rsid w:val="005F5607"/>
    <w:rsid w:val="00600AF5"/>
    <w:rsid w:val="00605A33"/>
    <w:rsid w:val="00610004"/>
    <w:rsid w:val="0063541C"/>
    <w:rsid w:val="006B2106"/>
    <w:rsid w:val="006C4AE5"/>
    <w:rsid w:val="006D322A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9668E"/>
    <w:rsid w:val="007A004D"/>
    <w:rsid w:val="007A30A2"/>
    <w:rsid w:val="007A45E0"/>
    <w:rsid w:val="007C6E94"/>
    <w:rsid w:val="007D0E41"/>
    <w:rsid w:val="007D2A99"/>
    <w:rsid w:val="007D43A3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B77A7"/>
    <w:rsid w:val="008C7503"/>
    <w:rsid w:val="008D6781"/>
    <w:rsid w:val="008E0357"/>
    <w:rsid w:val="008E6600"/>
    <w:rsid w:val="00903254"/>
    <w:rsid w:val="00904059"/>
    <w:rsid w:val="009043D0"/>
    <w:rsid w:val="00922B48"/>
    <w:rsid w:val="009263F4"/>
    <w:rsid w:val="009443E0"/>
    <w:rsid w:val="009555B3"/>
    <w:rsid w:val="00971A0B"/>
    <w:rsid w:val="00973924"/>
    <w:rsid w:val="00974E49"/>
    <w:rsid w:val="0097690B"/>
    <w:rsid w:val="0099132C"/>
    <w:rsid w:val="009A2806"/>
    <w:rsid w:val="009B36F8"/>
    <w:rsid w:val="009C7C1C"/>
    <w:rsid w:val="009E55FA"/>
    <w:rsid w:val="009F2BC3"/>
    <w:rsid w:val="009F3794"/>
    <w:rsid w:val="00A02FC7"/>
    <w:rsid w:val="00A12DE4"/>
    <w:rsid w:val="00A56A62"/>
    <w:rsid w:val="00A751B3"/>
    <w:rsid w:val="00A83680"/>
    <w:rsid w:val="00AA1469"/>
    <w:rsid w:val="00AC76FF"/>
    <w:rsid w:val="00AD11A7"/>
    <w:rsid w:val="00AF05C0"/>
    <w:rsid w:val="00B06659"/>
    <w:rsid w:val="00B12593"/>
    <w:rsid w:val="00B14AE2"/>
    <w:rsid w:val="00B16D55"/>
    <w:rsid w:val="00B25A19"/>
    <w:rsid w:val="00B37B77"/>
    <w:rsid w:val="00B65549"/>
    <w:rsid w:val="00B66335"/>
    <w:rsid w:val="00B8321A"/>
    <w:rsid w:val="00B83885"/>
    <w:rsid w:val="00B87BAE"/>
    <w:rsid w:val="00BB5F0B"/>
    <w:rsid w:val="00C146B7"/>
    <w:rsid w:val="00C610E0"/>
    <w:rsid w:val="00C74A45"/>
    <w:rsid w:val="00C91186"/>
    <w:rsid w:val="00C92526"/>
    <w:rsid w:val="00C96EAC"/>
    <w:rsid w:val="00CB0304"/>
    <w:rsid w:val="00CB31FF"/>
    <w:rsid w:val="00CB6E07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1C41"/>
    <w:rsid w:val="00E2280A"/>
    <w:rsid w:val="00E246A0"/>
    <w:rsid w:val="00E33017"/>
    <w:rsid w:val="00E35286"/>
    <w:rsid w:val="00E36A61"/>
    <w:rsid w:val="00E76F86"/>
    <w:rsid w:val="00EA624C"/>
    <w:rsid w:val="00EC502C"/>
    <w:rsid w:val="00EC7F16"/>
    <w:rsid w:val="00F2459E"/>
    <w:rsid w:val="00F27B1E"/>
    <w:rsid w:val="00F35923"/>
    <w:rsid w:val="00F53ED9"/>
    <w:rsid w:val="00F71E38"/>
    <w:rsid w:val="00F72845"/>
    <w:rsid w:val="00FC3AB4"/>
    <w:rsid w:val="00FD141D"/>
    <w:rsid w:val="00FE23BF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297</Words>
  <Characters>1695</Characters>
  <Application>Microsoft Office Word</Application>
  <DocSecurity>0</DocSecurity>
  <Lines>14</Lines>
  <Paragraphs>3</Paragraphs>
  <ScaleCrop>false</ScaleCrop>
  <Company>shendu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57</cp:revision>
  <cp:lastPrinted>2017-04-05T01:58:00Z</cp:lastPrinted>
  <dcterms:created xsi:type="dcterms:W3CDTF">2017-04-06T00:52:00Z</dcterms:created>
  <dcterms:modified xsi:type="dcterms:W3CDTF">2017-04-24T06:47:00Z</dcterms:modified>
</cp:coreProperties>
</file>