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附</w:t>
      </w:r>
      <w:r>
        <w:rPr>
          <w:rFonts w:hint="eastAsia" w:ascii="Times New Roman" w:hAnsi="Times New Roman" w:eastAsia="方正小标宋简体" w:cs="Times New Roman"/>
          <w:sz w:val="32"/>
          <w:szCs w:val="32"/>
        </w:rPr>
        <w:t>件二</w:t>
      </w:r>
      <w:r>
        <w:rPr>
          <w:rFonts w:ascii="Times New Roman" w:hAnsi="Times New Roman" w:eastAsia="方正小标宋简体" w:cs="Times New Roman"/>
          <w:sz w:val="32"/>
          <w:szCs w:val="32"/>
        </w:rPr>
        <w:t>：华中农业大学教师岗位聘任中期评估表</w:t>
      </w:r>
    </w:p>
    <w:p>
      <w:pPr>
        <w:spacing w:after="0"/>
        <w:jc w:val="center"/>
        <w:rPr>
          <w:rFonts w:ascii="Times New Roman" w:hAnsi="Times New Roman" w:eastAsia="仿宋_GB2312" w:cs="Times New Roman"/>
          <w:sz w:val="28"/>
          <w:szCs w:val="28"/>
        </w:rPr>
      </w:pPr>
    </w:p>
    <w:p>
      <w:pPr>
        <w:spacing w:after="120" w:afterLines="50"/>
        <w:rPr>
          <w:rFonts w:ascii="Times New Roman" w:hAnsi="Times New Roman" w:eastAsia="仿宋_GB2312" w:cs="Times New Roman"/>
          <w:sz w:val="24"/>
          <w:szCs w:val="24"/>
        </w:rPr>
      </w:pPr>
      <w:r>
        <w:rPr>
          <w:rFonts w:ascii="Times New Roman" w:hAnsi="黑体" w:eastAsia="黑体" w:cs="Times New Roman"/>
          <w:sz w:val="24"/>
          <w:szCs w:val="24"/>
        </w:rPr>
        <w:t>学院</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动科动医学院</w:t>
      </w:r>
    </w:p>
    <w:tbl>
      <w:tblPr>
        <w:tblStyle w:val="10"/>
        <w:tblW w:w="14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455"/>
        <w:gridCol w:w="963"/>
        <w:gridCol w:w="1276"/>
        <w:gridCol w:w="1559"/>
        <w:gridCol w:w="584"/>
        <w:gridCol w:w="1259"/>
        <w:gridCol w:w="2976"/>
        <w:gridCol w:w="773"/>
        <w:gridCol w:w="107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姓名</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赵书红</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岗位级别</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二级岗</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所属一级学科</w:t>
            </w:r>
          </w:p>
        </w:tc>
        <w:tc>
          <w:tcPr>
            <w:tcW w:w="297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畜牧学科</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所属二级学科</w:t>
            </w:r>
          </w:p>
        </w:tc>
        <w:tc>
          <w:tcPr>
            <w:tcW w:w="2977"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动物遗传育种与繁殖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4927" w:type="dxa"/>
            <w:gridSpan w:val="11"/>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自我评估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项目</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聘任协议书约定的岗位职责与工作目标</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中期完成情况</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存在问题与改进计划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1"/>
                <w:szCs w:val="21"/>
              </w:rPr>
            </w:pPr>
            <w:r>
              <w:rPr>
                <w:rFonts w:ascii="Times New Roman" w:hAnsi="黑体" w:eastAsia="黑体" w:cs="Times New Roman"/>
                <w:sz w:val="21"/>
                <w:szCs w:val="21"/>
              </w:rPr>
              <w:t>学风与职业道德建设</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1"/>
                <w:szCs w:val="21"/>
              </w:rPr>
            </w:pPr>
            <w:r>
              <w:rPr>
                <w:rFonts w:hint="eastAsia" w:ascii="Times New Roman" w:hAnsi="Times New Roman" w:eastAsia="仿宋" w:cs="Times New Roman"/>
                <w:sz w:val="21"/>
                <w:szCs w:val="21"/>
              </w:rPr>
              <w:t>负责（动物遗传育种与繁殖）二级学科学风建设、教师职业道德规范的宣传教育、监督管理工作。研究制定并采取相关措施，营造积极向上、崇尚学术、勇于探索、追求真理、自由唯真的学术氛围。（动物遗传育种与繁殖）学科学术氛围良好，学风端正，教师和学生无违反职业道德规范和学术不端行为发生。</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1"/>
                <w:szCs w:val="21"/>
              </w:rPr>
            </w:pPr>
            <w:r>
              <w:rPr>
                <w:rFonts w:ascii="Times New Roman" w:hAnsi="Times New Roman" w:eastAsia="仿宋" w:cs="Times New Roman"/>
                <w:sz w:val="21"/>
                <w:szCs w:val="21"/>
              </w:rPr>
              <w:t>完成情况良好：</w:t>
            </w:r>
            <w:r>
              <w:rPr>
                <w:rFonts w:hint="eastAsia" w:ascii="Times New Roman" w:hAnsi="Times New Roman" w:eastAsia="仿宋" w:cs="Times New Roman"/>
                <w:sz w:val="21"/>
                <w:szCs w:val="21"/>
              </w:rPr>
              <w:t>认真负责（动物遗传育种与繁殖）二级学科建设、2016年</w:t>
            </w:r>
            <w:r>
              <w:rPr>
                <w:rFonts w:ascii="Times New Roman" w:hAnsi="Times New Roman" w:eastAsia="仿宋" w:cs="Times New Roman"/>
                <w:sz w:val="21"/>
                <w:szCs w:val="21"/>
              </w:rPr>
              <w:t>负责</w:t>
            </w:r>
            <w:r>
              <w:rPr>
                <w:rFonts w:hint="eastAsia" w:ascii="Times New Roman" w:hAnsi="Times New Roman" w:eastAsia="仿宋" w:cs="Times New Roman"/>
                <w:sz w:val="21"/>
                <w:szCs w:val="21"/>
              </w:rPr>
              <w:t>完成畜牧学一级学科评估申报工作，注重教师职业道德规范的宣传教育、监督管理工作</w:t>
            </w:r>
            <w:r>
              <w:rPr>
                <w:rFonts w:ascii="Times New Roman" w:hAnsi="Times New Roman" w:eastAsia="仿宋" w:cs="Times New Roman"/>
                <w:sz w:val="21"/>
                <w:szCs w:val="21"/>
              </w:rPr>
              <w:t>，参与</w:t>
            </w:r>
            <w:r>
              <w:rPr>
                <w:rFonts w:hint="eastAsia" w:ascii="Times New Roman" w:hAnsi="Times New Roman" w:eastAsia="仿宋" w:cs="Times New Roman"/>
                <w:sz w:val="21"/>
                <w:szCs w:val="21"/>
              </w:rPr>
              <w:t>讨论</w:t>
            </w:r>
            <w:r>
              <w:rPr>
                <w:rFonts w:ascii="Times New Roman" w:hAnsi="Times New Roman" w:eastAsia="仿宋" w:cs="Times New Roman"/>
                <w:sz w:val="21"/>
                <w:szCs w:val="21"/>
              </w:rPr>
              <w:t>了学校学术不端处理办法</w:t>
            </w:r>
            <w:r>
              <w:rPr>
                <w:rFonts w:hint="eastAsia" w:ascii="Times New Roman" w:hAnsi="Times New Roman" w:eastAsia="仿宋" w:cs="Times New Roman"/>
                <w:sz w:val="21"/>
                <w:szCs w:val="21"/>
              </w:rPr>
              <w:t>，</w:t>
            </w:r>
            <w:r>
              <w:rPr>
                <w:rFonts w:ascii="Times New Roman" w:hAnsi="Times New Roman" w:eastAsia="仿宋" w:cs="Times New Roman"/>
                <w:sz w:val="21"/>
                <w:szCs w:val="21"/>
              </w:rPr>
              <w:t>每年为青年教师、本科生、</w:t>
            </w:r>
            <w:r>
              <w:rPr>
                <w:rFonts w:hint="eastAsia" w:ascii="Times New Roman" w:hAnsi="Times New Roman" w:eastAsia="仿宋" w:cs="Times New Roman"/>
                <w:sz w:val="21"/>
                <w:szCs w:val="21"/>
              </w:rPr>
              <w:t>研究生</w:t>
            </w:r>
            <w:r>
              <w:rPr>
                <w:rFonts w:ascii="Times New Roman" w:hAnsi="Times New Roman" w:eastAsia="仿宋" w:cs="Times New Roman"/>
                <w:sz w:val="21"/>
                <w:szCs w:val="21"/>
              </w:rPr>
              <w:t>讲解学术行为规范，努力</w:t>
            </w:r>
            <w:r>
              <w:rPr>
                <w:rFonts w:hint="eastAsia" w:ascii="Times New Roman" w:hAnsi="Times New Roman" w:eastAsia="仿宋" w:cs="Times New Roman"/>
                <w:sz w:val="21"/>
                <w:szCs w:val="21"/>
              </w:rPr>
              <w:t>营造积极向上</w:t>
            </w:r>
            <w:r>
              <w:rPr>
                <w:rFonts w:ascii="Times New Roman" w:hAnsi="Times New Roman" w:eastAsia="仿宋" w:cs="Times New Roman"/>
                <w:sz w:val="21"/>
                <w:szCs w:val="21"/>
              </w:rPr>
              <w:t>、</w:t>
            </w:r>
            <w:r>
              <w:rPr>
                <w:rFonts w:hint="eastAsia" w:ascii="Times New Roman" w:hAnsi="Times New Roman" w:eastAsia="仿宋" w:cs="Times New Roman"/>
                <w:sz w:val="21"/>
                <w:szCs w:val="21"/>
              </w:rPr>
              <w:t>追求真理的学术氛围。</w:t>
            </w:r>
            <w:r>
              <w:rPr>
                <w:rFonts w:ascii="Times New Roman" w:hAnsi="Times New Roman" w:eastAsia="仿宋" w:cs="Times New Roman"/>
                <w:sz w:val="21"/>
                <w:szCs w:val="21"/>
              </w:rPr>
              <w:t>所在</w:t>
            </w:r>
            <w:r>
              <w:rPr>
                <w:rFonts w:hint="eastAsia" w:ascii="Times New Roman" w:hAnsi="Times New Roman" w:eastAsia="仿宋" w:cs="Times New Roman"/>
                <w:sz w:val="21"/>
                <w:szCs w:val="21"/>
              </w:rPr>
              <w:t>学科学术氛围良好，学风端正，教师和学生无违反职业道德规范和学术不端行为发生。</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1"/>
                <w:szCs w:val="21"/>
              </w:rPr>
            </w:pPr>
            <w:r>
              <w:rPr>
                <w:rFonts w:ascii="Times New Roman" w:hAnsi="黑体" w:eastAsia="黑体" w:cs="Times New Roman"/>
                <w:sz w:val="21"/>
                <w:szCs w:val="21"/>
              </w:rPr>
              <w:t>学生教育</w:t>
            </w:r>
          </w:p>
          <w:p>
            <w:pPr>
              <w:spacing w:after="0"/>
              <w:jc w:val="center"/>
              <w:rPr>
                <w:rFonts w:ascii="Times New Roman" w:hAnsi="Times New Roman" w:eastAsia="黑体" w:cs="Times New Roman"/>
                <w:sz w:val="21"/>
                <w:szCs w:val="21"/>
              </w:rPr>
            </w:pPr>
            <w:r>
              <w:rPr>
                <w:rFonts w:ascii="Times New Roman" w:hAnsi="黑体" w:eastAsia="黑体" w:cs="Times New Roman"/>
                <w:sz w:val="21"/>
                <w:szCs w:val="21"/>
              </w:rPr>
              <w:t>管理</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1"/>
                <w:szCs w:val="21"/>
              </w:rPr>
            </w:pPr>
            <w:r>
              <w:rPr>
                <w:rFonts w:hint="eastAsia" w:ascii="Times New Roman" w:hAnsi="Times New Roman" w:eastAsia="仿宋" w:cs="Times New Roman"/>
                <w:sz w:val="21"/>
                <w:szCs w:val="21"/>
              </w:rPr>
              <w:t>参与并积极带领（动物遗传育种与繁殖）学科教师从事学生思想政治教育与学生管理工作，在教学科研等工作中坚持学为人师、行为世范，以高尚的道德情操和社会主义核心价值观引领和培育学生健康成长。</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1"/>
                <w:szCs w:val="21"/>
              </w:rPr>
            </w:pPr>
            <w:r>
              <w:rPr>
                <w:rFonts w:ascii="Times New Roman" w:hAnsi="Times New Roman" w:eastAsia="仿宋" w:cs="Times New Roman"/>
                <w:sz w:val="21"/>
                <w:szCs w:val="21"/>
              </w:rPr>
              <w:t>完成情况良好：</w:t>
            </w:r>
            <w:r>
              <w:rPr>
                <w:rFonts w:hint="eastAsia" w:ascii="Times New Roman" w:hAnsi="Times New Roman" w:eastAsia="仿宋" w:cs="Times New Roman"/>
                <w:sz w:val="21"/>
                <w:szCs w:val="21"/>
              </w:rPr>
              <w:t>认真履行参与并积极带领（动物遗传育种与繁殖）学科教师从事学生思想政治教育与学生管理工作职责，在教学科研等工作中坚持学为人师</w:t>
            </w:r>
            <w:r>
              <w:rPr>
                <w:rFonts w:ascii="Times New Roman" w:hAnsi="Times New Roman" w:eastAsia="仿宋" w:cs="Times New Roman"/>
                <w:sz w:val="21"/>
                <w:szCs w:val="21"/>
              </w:rPr>
              <w:t>表</w:t>
            </w:r>
            <w:r>
              <w:rPr>
                <w:rFonts w:hint="eastAsia" w:ascii="Times New Roman" w:hAnsi="Times New Roman" w:eastAsia="仿宋" w:cs="Times New Roman"/>
                <w:sz w:val="21"/>
                <w:szCs w:val="21"/>
              </w:rPr>
              <w:t>，以社会主义核心价值观引领和培育学生健康成长。</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1"/>
                <w:szCs w:val="21"/>
              </w:rPr>
            </w:pPr>
            <w:r>
              <w:rPr>
                <w:rFonts w:ascii="Times New Roman" w:hAnsi="黑体" w:eastAsia="黑体" w:cs="Times New Roman"/>
                <w:sz w:val="21"/>
                <w:szCs w:val="21"/>
              </w:rPr>
              <w:t>教学工作</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1"/>
                <w:szCs w:val="21"/>
              </w:rPr>
            </w:pPr>
            <w:r>
              <w:rPr>
                <w:rFonts w:hint="eastAsia" w:ascii="Times New Roman" w:hAnsi="Times New Roman" w:eastAsia="仿宋" w:cs="Times New Roman"/>
                <w:sz w:val="21"/>
                <w:szCs w:val="21"/>
              </w:rPr>
              <w:t>承担本科生教学和研究生培养工作，面向本科生讲授《动物遗传学》、《分子生物学》课程，面向研究生开设《分子生物学》每年不少于60学时，教学效果良好，学生评教位无位于同职称教师后10%记录。</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1"/>
                <w:szCs w:val="21"/>
              </w:rPr>
            </w:pPr>
            <w:r>
              <w:rPr>
                <w:rFonts w:ascii="Times New Roman" w:hAnsi="Times New Roman" w:eastAsia="仿宋" w:cs="Times New Roman"/>
                <w:sz w:val="21"/>
                <w:szCs w:val="21"/>
              </w:rPr>
              <w:t>完成情况良好：</w:t>
            </w:r>
            <w:r>
              <w:rPr>
                <w:rFonts w:hint="eastAsia" w:ascii="Times New Roman" w:hAnsi="Times New Roman" w:eastAsia="仿宋" w:cs="Times New Roman"/>
                <w:sz w:val="21"/>
                <w:szCs w:val="21"/>
              </w:rPr>
              <w:t>承担本科生教学和研究生培养工作，面向本科生讲授《动物遗传学》、《家畜育种学》</w:t>
            </w:r>
            <w:r>
              <w:rPr>
                <w:rFonts w:ascii="Times New Roman" w:hAnsi="Times New Roman" w:eastAsia="仿宋" w:cs="Times New Roman"/>
                <w:sz w:val="21"/>
                <w:szCs w:val="21"/>
              </w:rPr>
              <w:t>、</w:t>
            </w:r>
            <w:r>
              <w:rPr>
                <w:rFonts w:hint="eastAsia" w:ascii="Times New Roman" w:hAnsi="Times New Roman" w:eastAsia="仿宋" w:cs="Times New Roman"/>
                <w:sz w:val="21"/>
                <w:szCs w:val="21"/>
              </w:rPr>
              <w:t>《分子生物学》</w:t>
            </w:r>
            <w:r>
              <w:rPr>
                <w:rFonts w:ascii="Times New Roman" w:hAnsi="Times New Roman" w:eastAsia="仿宋" w:cs="Times New Roman"/>
                <w:sz w:val="21"/>
                <w:szCs w:val="21"/>
              </w:rPr>
              <w:t>及</w:t>
            </w:r>
            <w:r>
              <w:rPr>
                <w:rFonts w:hint="eastAsia" w:ascii="Times New Roman" w:hAnsi="Times New Roman" w:eastAsia="仿宋" w:cs="Times New Roman"/>
                <w:sz w:val="21"/>
                <w:szCs w:val="21"/>
              </w:rPr>
              <w:t>《大学生学术道德规范》课程，面向研究生开设《分子生物学》每年112学时，教学效果良好。</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2"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1"/>
                <w:szCs w:val="21"/>
              </w:rPr>
            </w:pPr>
            <w:r>
              <w:rPr>
                <w:rFonts w:ascii="Times New Roman" w:hAnsi="黑体" w:eastAsia="黑体" w:cs="Times New Roman"/>
                <w:sz w:val="21"/>
                <w:szCs w:val="21"/>
              </w:rPr>
              <w:t>人才培养</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1"/>
                <w:szCs w:val="21"/>
              </w:rPr>
            </w:pPr>
            <w:r>
              <w:rPr>
                <w:rFonts w:hint="eastAsia" w:ascii="Times New Roman" w:hAnsi="Times New Roman" w:eastAsia="仿宋" w:cs="Times New Roman"/>
                <w:sz w:val="21"/>
                <w:szCs w:val="21"/>
              </w:rPr>
              <w:t>负责组织（动物遗传育种与繁殖）学科人才培养目标和培养方案的制定和具体实施，提高本学科人才培养质量。聘期内，指导本科毕业生10名、硕士毕业生10名、博士毕业生5名；指导大学生课外学术、创业竞赛项目1项；指导大学生毕业论文或科技创新获得优秀成果1项，指导研究生获省级及以上优秀学位论文1项（或取得高水平研究成果）。</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1"/>
                <w:szCs w:val="21"/>
              </w:rPr>
            </w:pPr>
            <w:r>
              <w:rPr>
                <w:rFonts w:ascii="Times New Roman" w:hAnsi="Times New Roman" w:eastAsia="仿宋" w:cs="Times New Roman"/>
                <w:sz w:val="21"/>
                <w:szCs w:val="21"/>
              </w:rPr>
              <w:t>完成情况良好：</w:t>
            </w:r>
            <w:r>
              <w:rPr>
                <w:rFonts w:hint="eastAsia" w:ascii="Times New Roman" w:hAnsi="Times New Roman" w:eastAsia="仿宋" w:cs="Times New Roman"/>
                <w:sz w:val="21"/>
                <w:szCs w:val="21"/>
              </w:rPr>
              <w:t>负责组织本学科人才培养目标和培养方案的制定和具体实施，提高本学科人才培养质量。2014.1.1-2016.12.31聘期内，</w:t>
            </w:r>
            <w:r>
              <w:rPr>
                <w:rFonts w:ascii="Times New Roman" w:hAnsi="Times New Roman" w:eastAsia="仿宋" w:cs="Times New Roman"/>
                <w:sz w:val="21"/>
                <w:szCs w:val="21"/>
              </w:rPr>
              <w:t>参加</w:t>
            </w:r>
            <w:r>
              <w:rPr>
                <w:rFonts w:hint="eastAsia" w:ascii="Times New Roman" w:hAnsi="Times New Roman" w:eastAsia="仿宋" w:cs="Times New Roman"/>
                <w:sz w:val="21"/>
                <w:szCs w:val="21"/>
              </w:rPr>
              <w:t>本科毕业生论文（设计）答辩55名、硕士毕业生12名、博士毕业生11名；指导大学生毕业论文获得优秀</w:t>
            </w:r>
            <w:r>
              <w:rPr>
                <w:rFonts w:ascii="Times New Roman" w:hAnsi="Times New Roman" w:eastAsia="仿宋" w:cs="Times New Roman"/>
                <w:sz w:val="21"/>
                <w:szCs w:val="21"/>
              </w:rPr>
              <w:t>1</w:t>
            </w:r>
            <w:r>
              <w:rPr>
                <w:rFonts w:hint="eastAsia" w:ascii="Times New Roman" w:hAnsi="Times New Roman" w:eastAsia="仿宋" w:cs="Times New Roman"/>
                <w:sz w:val="21"/>
                <w:szCs w:val="21"/>
              </w:rPr>
              <w:t>项，指导研究生获省级及以上优秀</w:t>
            </w:r>
            <w:r>
              <w:rPr>
                <w:rFonts w:ascii="Times New Roman" w:hAnsi="Times New Roman" w:eastAsia="仿宋" w:cs="Times New Roman"/>
                <w:sz w:val="21"/>
                <w:szCs w:val="21"/>
              </w:rPr>
              <w:t>博士</w:t>
            </w:r>
            <w:r>
              <w:rPr>
                <w:rFonts w:hint="eastAsia" w:ascii="Times New Roman" w:hAnsi="Times New Roman" w:eastAsia="仿宋" w:cs="Times New Roman"/>
                <w:sz w:val="21"/>
                <w:szCs w:val="21"/>
              </w:rPr>
              <w:t>学位论文</w:t>
            </w:r>
            <w:r>
              <w:rPr>
                <w:rFonts w:ascii="Times New Roman" w:hAnsi="Times New Roman" w:eastAsia="仿宋" w:cs="Times New Roman"/>
                <w:sz w:val="21"/>
                <w:szCs w:val="21"/>
              </w:rPr>
              <w:t>1</w:t>
            </w:r>
            <w:r>
              <w:rPr>
                <w:rFonts w:hint="eastAsia" w:ascii="Times New Roman" w:hAnsi="Times New Roman" w:eastAsia="仿宋" w:cs="Times New Roman"/>
                <w:sz w:val="21"/>
                <w:szCs w:val="21"/>
              </w:rPr>
              <w:t>项</w:t>
            </w:r>
            <w:r>
              <w:rPr>
                <w:rFonts w:ascii="Times New Roman" w:hAnsi="Times New Roman" w:eastAsia="仿宋" w:cs="Times New Roman"/>
                <w:sz w:val="21"/>
                <w:szCs w:val="21"/>
              </w:rPr>
              <w:t>，</w:t>
            </w:r>
            <w:r>
              <w:rPr>
                <w:rFonts w:hint="eastAsia" w:ascii="Times New Roman" w:hAnsi="Times New Roman" w:eastAsia="仿宋" w:cs="Times New Roman"/>
                <w:sz w:val="21"/>
                <w:szCs w:val="21"/>
              </w:rPr>
              <w:t>校级</w:t>
            </w:r>
            <w:r>
              <w:rPr>
                <w:rFonts w:ascii="Times New Roman" w:hAnsi="Times New Roman" w:eastAsia="仿宋" w:cs="Times New Roman"/>
                <w:sz w:val="21"/>
                <w:szCs w:val="21"/>
              </w:rPr>
              <w:t>优博优硕4</w:t>
            </w:r>
            <w:r>
              <w:rPr>
                <w:rFonts w:hint="eastAsia" w:ascii="Times New Roman" w:hAnsi="Times New Roman" w:eastAsia="仿宋" w:cs="Times New Roman"/>
                <w:sz w:val="21"/>
                <w:szCs w:val="21"/>
              </w:rPr>
              <w:t>项。</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2"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1"/>
                <w:szCs w:val="21"/>
              </w:rPr>
            </w:pPr>
            <w:r>
              <w:rPr>
                <w:rFonts w:ascii="Times New Roman" w:hAnsi="黑体" w:eastAsia="黑体" w:cs="Times New Roman"/>
                <w:sz w:val="21"/>
                <w:szCs w:val="21"/>
              </w:rPr>
              <w:t>科学研究</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负责（动物遗传育种与繁殖）学科科学研究工作，形成稳定的猪功能基因组与育种研究方向，产生标志性或有影响力的科技成果。聘期内，以通讯或第一作者在本学科主流期刊发表论文，SCI论文累计IF不少于20.0，其中单篇IF大于的5.0论文不少于1篇（或单篇IF大于3.0的论文不少于3篇、或一区论文不少于2篇），获得国家自然科学基金、863或973等重点或重大项目1项，获省部级及以上科研成果奖励1项；认真指导科研团队和中青年教师开展科研工作，团队获批不少于3项国家自然科学基金等国家项目。</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1"/>
                <w:szCs w:val="21"/>
              </w:rPr>
            </w:pPr>
            <w:r>
              <w:rPr>
                <w:rFonts w:ascii="Times New Roman" w:hAnsi="Times New Roman" w:eastAsia="仿宋" w:cs="Times New Roman"/>
                <w:sz w:val="21"/>
                <w:szCs w:val="21"/>
              </w:rPr>
              <w:t>完成情况良好：</w:t>
            </w:r>
            <w:r>
              <w:rPr>
                <w:rFonts w:hint="eastAsia" w:ascii="Times New Roman" w:hAnsi="Times New Roman" w:eastAsia="仿宋" w:cs="Times New Roman"/>
                <w:sz w:val="21"/>
                <w:szCs w:val="21"/>
              </w:rPr>
              <w:t>认真负责</w:t>
            </w:r>
            <w:r>
              <w:rPr>
                <w:rFonts w:ascii="Times New Roman" w:hAnsi="Times New Roman" w:eastAsia="仿宋" w:cs="Times New Roman"/>
                <w:sz w:val="21"/>
                <w:szCs w:val="21"/>
              </w:rPr>
              <w:t>本</w:t>
            </w:r>
            <w:r>
              <w:rPr>
                <w:rFonts w:hint="eastAsia" w:ascii="Times New Roman" w:hAnsi="Times New Roman" w:eastAsia="仿宋" w:cs="Times New Roman"/>
                <w:sz w:val="21"/>
                <w:szCs w:val="21"/>
              </w:rPr>
              <w:t>学科科学研究工作，形成了稳定的猪功能基因组与育种研究方向，发表了</w:t>
            </w:r>
            <w:r>
              <w:rPr>
                <w:rFonts w:ascii="Times New Roman" w:hAnsi="Times New Roman" w:eastAsia="仿宋" w:cs="Times New Roman"/>
                <w:sz w:val="21"/>
                <w:szCs w:val="21"/>
              </w:rPr>
              <w:t>一批文章，</w:t>
            </w:r>
            <w:r>
              <w:rPr>
                <w:rFonts w:hint="eastAsia" w:ascii="Times New Roman" w:hAnsi="Times New Roman" w:eastAsia="仿宋" w:cs="Times New Roman"/>
                <w:sz w:val="21"/>
                <w:szCs w:val="21"/>
              </w:rPr>
              <w:t>获得</w:t>
            </w:r>
            <w:r>
              <w:rPr>
                <w:rFonts w:ascii="Times New Roman" w:hAnsi="Times New Roman" w:eastAsia="仿宋" w:cs="Times New Roman"/>
                <w:sz w:val="21"/>
                <w:szCs w:val="21"/>
              </w:rPr>
              <w:t>授权专利多项</w:t>
            </w:r>
            <w:r>
              <w:rPr>
                <w:rFonts w:hint="eastAsia" w:ascii="Times New Roman" w:hAnsi="Times New Roman" w:eastAsia="仿宋" w:cs="Times New Roman"/>
                <w:sz w:val="21"/>
                <w:szCs w:val="21"/>
              </w:rPr>
              <w:t>。2014.1.1-2016.12.31聘期内，发表论文21篇，以通讯或第一作者在本学科主流期刊发表SCI论文14篇，SCI论文累计IF45.005，其中单篇IF大于的5.0论文2篇，单篇IF大于3.0的论文8篇，获得</w:t>
            </w:r>
            <w:r>
              <w:rPr>
                <w:rFonts w:ascii="Times New Roman" w:hAnsi="Times New Roman" w:eastAsia="仿宋" w:cs="Times New Roman"/>
                <w:sz w:val="21"/>
                <w:szCs w:val="21"/>
              </w:rPr>
              <w:t>授权或</w:t>
            </w:r>
            <w:r>
              <w:rPr>
                <w:rFonts w:hint="eastAsia" w:ascii="Times New Roman" w:hAnsi="Times New Roman" w:eastAsia="仿宋" w:cs="Times New Roman"/>
                <w:sz w:val="21"/>
                <w:szCs w:val="21"/>
              </w:rPr>
              <w:t>受理国家发明专利20项，获得国家自然科学基金3项、863项目1项，</w:t>
            </w:r>
            <w:r>
              <w:rPr>
                <w:rFonts w:ascii="Times New Roman" w:hAnsi="Times New Roman" w:eastAsia="仿宋" w:cs="Times New Roman"/>
                <w:sz w:val="21"/>
                <w:szCs w:val="21"/>
              </w:rPr>
              <w:t>国家基金</w:t>
            </w:r>
            <w:r>
              <w:rPr>
                <w:rFonts w:hint="eastAsia" w:ascii="Times New Roman" w:hAnsi="Times New Roman" w:eastAsia="仿宋" w:cs="Times New Roman"/>
                <w:sz w:val="21"/>
                <w:szCs w:val="21"/>
              </w:rPr>
              <w:t>重大</w:t>
            </w:r>
            <w:r>
              <w:rPr>
                <w:rFonts w:ascii="Times New Roman" w:hAnsi="Times New Roman" w:eastAsia="仿宋" w:cs="Times New Roman"/>
                <w:sz w:val="21"/>
                <w:szCs w:val="21"/>
              </w:rPr>
              <w:t>国际合作</w:t>
            </w:r>
            <w:r>
              <w:rPr>
                <w:rFonts w:hint="eastAsia" w:ascii="Times New Roman" w:hAnsi="Times New Roman" w:eastAsia="仿宋" w:cs="Times New Roman"/>
                <w:sz w:val="21"/>
                <w:szCs w:val="21"/>
              </w:rPr>
              <w:t>项目1项，获省部级及以上科研成果奖励1项</w:t>
            </w:r>
            <w:r>
              <w:rPr>
                <w:rFonts w:ascii="Times New Roman" w:hAnsi="Times New Roman" w:eastAsia="仿宋" w:cs="Times New Roman"/>
                <w:sz w:val="21"/>
                <w:szCs w:val="21"/>
              </w:rPr>
              <w:t>（主持获得湖北省技术发明一等奖）</w:t>
            </w:r>
            <w:r>
              <w:rPr>
                <w:rFonts w:hint="eastAsia" w:ascii="Times New Roman" w:hAnsi="Times New Roman" w:eastAsia="仿宋" w:cs="Times New Roman"/>
                <w:sz w:val="21"/>
                <w:szCs w:val="21"/>
              </w:rPr>
              <w:t>；认真指导科研团队和中青年教师开展科研工作，团队获批11项国家自然科学基金等国家项目。</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1"/>
                <w:szCs w:val="21"/>
              </w:rPr>
            </w:pPr>
          </w:p>
          <w:p>
            <w:pPr>
              <w:spacing w:after="0"/>
              <w:rPr>
                <w:rFonts w:ascii="Times New Roman" w:hAnsi="Times New Roman" w:eastAsia="仿宋" w:cs="Times New Roman"/>
                <w:sz w:val="21"/>
                <w:szCs w:val="21"/>
              </w:rPr>
            </w:pPr>
          </w:p>
          <w:p>
            <w:pPr>
              <w:spacing w:after="0"/>
              <w:rPr>
                <w:rFonts w:ascii="Times New Roman" w:hAnsi="Times New Roman" w:eastAsia="仿宋" w:cs="Times New Roman"/>
                <w:sz w:val="21"/>
                <w:szCs w:val="21"/>
              </w:rPr>
            </w:pPr>
          </w:p>
          <w:p>
            <w:pPr>
              <w:spacing w:after="0"/>
              <w:rPr>
                <w:rFonts w:ascii="Times New Roman" w:hAnsi="Times New Roman" w:eastAsia="仿宋" w:cs="Times New Roman"/>
                <w:sz w:val="21"/>
                <w:szCs w:val="21"/>
              </w:rPr>
            </w:pPr>
          </w:p>
          <w:p>
            <w:pPr>
              <w:spacing w:after="0"/>
              <w:rPr>
                <w:rFonts w:ascii="Times New Roman" w:hAnsi="Times New Roman" w:eastAsia="仿宋" w:cs="Times New Roman"/>
                <w:sz w:val="21"/>
                <w:szCs w:val="21"/>
              </w:rPr>
            </w:pPr>
          </w:p>
          <w:p>
            <w:pPr>
              <w:spacing w:after="0"/>
              <w:rPr>
                <w:rFonts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4"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1"/>
                <w:szCs w:val="21"/>
              </w:rPr>
            </w:pPr>
            <w:r>
              <w:rPr>
                <w:rFonts w:ascii="Times New Roman" w:hAnsi="黑体" w:eastAsia="黑体" w:cs="Times New Roman"/>
                <w:sz w:val="21"/>
                <w:szCs w:val="21"/>
              </w:rPr>
              <w:t>学科与人才团队建设</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1"/>
                <w:szCs w:val="21"/>
              </w:rPr>
            </w:pPr>
            <w:r>
              <w:rPr>
                <w:rFonts w:hint="eastAsia" w:ascii="Times New Roman" w:hAnsi="Times New Roman" w:eastAsia="仿宋" w:cs="Times New Roman"/>
                <w:sz w:val="21"/>
                <w:szCs w:val="21"/>
              </w:rPr>
              <w:t>主持（动物遗传育种与繁殖）学科并积极参与畜牧一级学科的学科规划、学科项目、学位点建设和评估工作，统筹人才队伍建设规划，落实人才培养和引进工作，建设高水平学科团队、科研基地（平台），完成学科规划目标。聘期内，（动物遗传育种与繁殖）二级学科评估优秀、畜牧学一级学科排名保持前5名；推进畜牧学博士后科研流动站建设；每年负责为所在学科推荐并引进人才不少于1人；指导青年教师李新云提高教学、科研能力，并每年新增指导新教师1名；培养本学科学术骨干，并至少有2人入选省部级及以上人才项目；带领并积极支持学科或团队成员开展高水平的国际交流与合作，聘期内50%以上成员至少参加1次及以上国际学术交流或科研合作。</w:t>
            </w:r>
          </w:p>
          <w:p>
            <w:pPr>
              <w:spacing w:after="0"/>
              <w:rPr>
                <w:rFonts w:ascii="Times New Roman" w:hAnsi="Times New Roman" w:eastAsia="仿宋" w:cs="Times New Roman"/>
                <w:sz w:val="21"/>
                <w:szCs w:val="21"/>
              </w:rPr>
            </w:pP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1"/>
                <w:szCs w:val="21"/>
              </w:rPr>
            </w:pPr>
            <w:r>
              <w:rPr>
                <w:rFonts w:ascii="Times New Roman" w:hAnsi="Times New Roman" w:eastAsia="仿宋" w:cs="Times New Roman"/>
                <w:sz w:val="21"/>
                <w:szCs w:val="21"/>
              </w:rPr>
              <w:t>完成情况良好：</w:t>
            </w:r>
            <w:r>
              <w:rPr>
                <w:rFonts w:hint="eastAsia" w:ascii="Times New Roman" w:hAnsi="Times New Roman" w:eastAsia="仿宋" w:cs="Times New Roman"/>
                <w:sz w:val="21"/>
                <w:szCs w:val="21"/>
              </w:rPr>
              <w:t>2014.1.1-2.16.12.31聘期内，</w:t>
            </w:r>
            <w:r>
              <w:rPr>
                <w:rFonts w:ascii="Times New Roman" w:hAnsi="Times New Roman" w:eastAsia="仿宋" w:cs="Times New Roman"/>
                <w:sz w:val="21"/>
                <w:szCs w:val="21"/>
              </w:rPr>
              <w:t>负责组织了</w:t>
            </w:r>
            <w:r>
              <w:rPr>
                <w:rFonts w:hint="eastAsia" w:ascii="Times New Roman" w:hAnsi="Times New Roman" w:eastAsia="仿宋" w:cs="Times New Roman"/>
                <w:sz w:val="21"/>
                <w:szCs w:val="21"/>
              </w:rPr>
              <w:t>畜牧学一级学科</w:t>
            </w:r>
            <w:r>
              <w:rPr>
                <w:rFonts w:ascii="Times New Roman" w:hAnsi="Times New Roman" w:eastAsia="仿宋" w:cs="Times New Roman"/>
                <w:sz w:val="21"/>
                <w:szCs w:val="21"/>
              </w:rPr>
              <w:t>学位点建设和学科评估</w:t>
            </w:r>
            <w:r>
              <w:rPr>
                <w:rFonts w:hint="eastAsia" w:ascii="Times New Roman" w:hAnsi="Times New Roman" w:eastAsia="仿宋" w:cs="Times New Roman"/>
                <w:sz w:val="21"/>
                <w:szCs w:val="21"/>
              </w:rPr>
              <w:t>材料；实验室建设方面，继续建设了教育部实验室研究平台，召开了实验室第二届一次学术委员会，维持实验室和整个综合楼B座正常运行，按时提交科技处和教育部要求的各种材料，2016年</w:t>
            </w:r>
            <w:r>
              <w:rPr>
                <w:rFonts w:ascii="Times New Roman" w:hAnsi="Times New Roman" w:eastAsia="仿宋" w:cs="Times New Roman"/>
                <w:sz w:val="21"/>
                <w:szCs w:val="21"/>
              </w:rPr>
              <w:t>组织了</w:t>
            </w:r>
            <w:r>
              <w:rPr>
                <w:rFonts w:hint="eastAsia" w:ascii="Times New Roman" w:hAnsi="Times New Roman" w:eastAsia="仿宋" w:cs="Times New Roman"/>
                <w:sz w:val="21"/>
                <w:szCs w:val="21"/>
              </w:rPr>
              <w:t>教育部</w:t>
            </w:r>
            <w:r>
              <w:rPr>
                <w:rFonts w:ascii="Times New Roman" w:hAnsi="Times New Roman" w:eastAsia="仿宋" w:cs="Times New Roman"/>
                <w:sz w:val="21"/>
                <w:szCs w:val="21"/>
              </w:rPr>
              <w:t>实验室</w:t>
            </w:r>
            <w:r>
              <w:rPr>
                <w:rFonts w:hint="eastAsia" w:ascii="Times New Roman" w:hAnsi="Times New Roman" w:eastAsia="仿宋" w:cs="Times New Roman"/>
                <w:sz w:val="21"/>
                <w:szCs w:val="21"/>
              </w:rPr>
              <w:t>评估</w:t>
            </w:r>
            <w:r>
              <w:rPr>
                <w:rFonts w:ascii="Times New Roman" w:hAnsi="Times New Roman" w:eastAsia="仿宋" w:cs="Times New Roman"/>
                <w:sz w:val="21"/>
                <w:szCs w:val="21"/>
              </w:rPr>
              <w:t>材料并</w:t>
            </w:r>
            <w:r>
              <w:rPr>
                <w:rFonts w:hint="eastAsia" w:ascii="Times New Roman" w:hAnsi="Times New Roman" w:eastAsia="仿宋" w:cs="Times New Roman"/>
                <w:sz w:val="21"/>
                <w:szCs w:val="21"/>
              </w:rPr>
              <w:t>获评良好。推进畜牧学博士后科研流动站建设；引进了千人计划学者王恒教授，楚天学者苗义良教授，副研究员刘小磊，讲师马云龙</w:t>
            </w:r>
            <w:r>
              <w:rPr>
                <w:rFonts w:ascii="Times New Roman" w:hAnsi="Times New Roman" w:eastAsia="仿宋" w:cs="Times New Roman"/>
                <w:sz w:val="21"/>
                <w:szCs w:val="21"/>
              </w:rPr>
              <w:t>；</w:t>
            </w:r>
            <w:r>
              <w:rPr>
                <w:rFonts w:hint="eastAsia" w:ascii="Times New Roman" w:hAnsi="Times New Roman" w:eastAsia="仿宋" w:cs="Times New Roman"/>
                <w:sz w:val="21"/>
                <w:szCs w:val="21"/>
              </w:rPr>
              <w:t>指导青年教师方面，及时沟通，促进其教学和科研工作顺利进行。指导青年教师李新云提高教学、科研能力，并于2016年获评教授。带领并积极支持学科或团队成员开展高水平的国际交流与合作，2014年参加了973、863战略研讨会，并参与了部分内容写作。积极进行学术交流，参加了国际动植物基因组大会（美国），国际动物遗传大会并做</w:t>
            </w:r>
            <w:r>
              <w:rPr>
                <w:rFonts w:ascii="Times New Roman" w:hAnsi="Times New Roman" w:eastAsia="仿宋" w:cs="Times New Roman"/>
                <w:sz w:val="21"/>
                <w:szCs w:val="21"/>
              </w:rPr>
              <w:t>分会</w:t>
            </w:r>
            <w:r>
              <w:rPr>
                <w:rFonts w:hint="eastAsia" w:ascii="Times New Roman" w:hAnsi="Times New Roman" w:eastAsia="仿宋" w:cs="Times New Roman"/>
                <w:sz w:val="21"/>
                <w:szCs w:val="21"/>
              </w:rPr>
              <w:t>主持，在武汉组织了中英“从干细胞、系统生物学到猪生产研讨会”，应邀访问了比尔盖茨基金会、美国农业部等单位并做报告。另外作为评委参加了联合基金答辩评审会，及时评审了多个渠道的科研项目，审稿国内外论文</w:t>
            </w:r>
            <w:r>
              <w:rPr>
                <w:rFonts w:ascii="Times New Roman" w:hAnsi="Times New Roman" w:eastAsia="仿宋" w:cs="Times New Roman"/>
                <w:sz w:val="21"/>
                <w:szCs w:val="21"/>
              </w:rPr>
              <w:t>及博士论文多</w:t>
            </w:r>
            <w:r>
              <w:rPr>
                <w:rFonts w:hint="eastAsia" w:ascii="Times New Roman" w:hAnsi="Times New Roman" w:eastAsia="仿宋" w:cs="Times New Roman"/>
                <w:sz w:val="21"/>
                <w:szCs w:val="21"/>
              </w:rPr>
              <w:t>篇。</w:t>
            </w:r>
          </w:p>
          <w:p>
            <w:pPr>
              <w:spacing w:after="0"/>
              <w:rPr>
                <w:rFonts w:ascii="Times New Roman" w:hAnsi="Times New Roman" w:eastAsia="仿宋" w:cs="Times New Roman"/>
                <w:sz w:val="21"/>
                <w:szCs w:val="21"/>
              </w:rPr>
            </w:pPr>
            <w:r>
              <w:rPr>
                <w:rFonts w:hint="eastAsia" w:ascii="Times New Roman" w:hAnsi="Times New Roman" w:eastAsia="仿宋" w:cs="Times New Roman"/>
                <w:sz w:val="21"/>
                <w:szCs w:val="21"/>
              </w:rPr>
              <w:t>2015年参加在澳大利亚墨尔本举办的国际农业生物技术会议并做特邀报告，参加在肯尼亚内罗毕做NSFC-CGIAR双边研讨会报告，参加在新加坡举办的亚洲动植物基因组大会并做特邀报告。2016年参加在埃及本哈大学和奥地利国际原子能机构举办的国际学术研讨会。</w:t>
            </w:r>
            <w:r>
              <w:rPr>
                <w:rFonts w:ascii="Times New Roman" w:hAnsi="Times New Roman" w:eastAsia="仿宋" w:cs="Times New Roman"/>
                <w:sz w:val="21"/>
                <w:szCs w:val="21"/>
              </w:rPr>
              <w:t>团队成员均参加了国际会议</w:t>
            </w:r>
            <w:r>
              <w:rPr>
                <w:rFonts w:hint="eastAsia" w:ascii="Times New Roman" w:hAnsi="Times New Roman" w:eastAsia="仿宋" w:cs="Times New Roman"/>
                <w:sz w:val="21"/>
                <w:szCs w:val="21"/>
              </w:rPr>
              <w:t>交流</w:t>
            </w:r>
            <w:r>
              <w:rPr>
                <w:rFonts w:ascii="Times New Roman" w:hAnsi="Times New Roman" w:eastAsia="仿宋" w:cs="Times New Roman"/>
                <w:sz w:val="21"/>
                <w:szCs w:val="21"/>
              </w:rPr>
              <w:t>，作为带头人的</w:t>
            </w:r>
            <w:r>
              <w:rPr>
                <w:rFonts w:hint="eastAsia" w:ascii="Times New Roman" w:hAnsi="Times New Roman" w:eastAsia="仿宋" w:cs="Times New Roman"/>
                <w:sz w:val="21"/>
                <w:szCs w:val="21"/>
              </w:rPr>
              <w:t>团队</w:t>
            </w:r>
            <w:r>
              <w:rPr>
                <w:rFonts w:ascii="Times New Roman" w:hAnsi="Times New Roman" w:eastAsia="仿宋" w:cs="Times New Roman"/>
                <w:sz w:val="21"/>
                <w:szCs w:val="21"/>
              </w:rPr>
              <w:t>入选</w:t>
            </w:r>
            <w:r>
              <w:rPr>
                <w:rFonts w:hint="eastAsia" w:ascii="Times New Roman" w:hAnsi="Times New Roman" w:eastAsia="仿宋" w:cs="Times New Roman"/>
                <w:sz w:val="21"/>
                <w:szCs w:val="21"/>
              </w:rPr>
              <w:t>农业部</w:t>
            </w:r>
            <w:r>
              <w:rPr>
                <w:rFonts w:ascii="Times New Roman" w:hAnsi="Times New Roman" w:eastAsia="仿宋" w:cs="Times New Roman"/>
                <w:sz w:val="21"/>
                <w:szCs w:val="21"/>
              </w:rPr>
              <w:t>农业科研杰出人才创新团队，及科技部领军人才创新团队。</w:t>
            </w:r>
          </w:p>
          <w:p>
            <w:pPr>
              <w:spacing w:after="0"/>
              <w:rPr>
                <w:rFonts w:ascii="Times New Roman" w:hAnsi="Times New Roman" w:eastAsia="仿宋" w:cs="Times New Roman"/>
                <w:sz w:val="21"/>
                <w:szCs w:val="21"/>
              </w:rPr>
            </w:pPr>
          </w:p>
          <w:p>
            <w:pPr>
              <w:spacing w:after="0"/>
              <w:rPr>
                <w:rFonts w:ascii="Times New Roman" w:hAnsi="Times New Roman" w:eastAsia="仿宋" w:cs="Times New Roman"/>
                <w:sz w:val="21"/>
                <w:szCs w:val="21"/>
              </w:rPr>
            </w:pPr>
          </w:p>
          <w:p>
            <w:pPr>
              <w:spacing w:after="0"/>
              <w:rPr>
                <w:rFonts w:ascii="Times New Roman" w:hAnsi="Times New Roman" w:eastAsia="仿宋" w:cs="Times New Roman"/>
                <w:sz w:val="21"/>
                <w:szCs w:val="21"/>
              </w:rPr>
            </w:pPr>
          </w:p>
          <w:p>
            <w:pPr>
              <w:spacing w:after="0"/>
              <w:rPr>
                <w:rFonts w:ascii="Times New Roman" w:hAnsi="Times New Roman" w:eastAsia="仿宋" w:cs="Times New Roman"/>
                <w:sz w:val="21"/>
                <w:szCs w:val="21"/>
              </w:rPr>
            </w:pPr>
          </w:p>
          <w:p>
            <w:pPr>
              <w:spacing w:after="0"/>
              <w:rPr>
                <w:rFonts w:ascii="Times New Roman" w:hAnsi="Times New Roman" w:eastAsia="仿宋" w:cs="Times New Roman"/>
                <w:sz w:val="21"/>
                <w:szCs w:val="21"/>
              </w:rPr>
            </w:pPr>
          </w:p>
          <w:p>
            <w:pPr>
              <w:spacing w:after="0"/>
              <w:rPr>
                <w:rFonts w:ascii="Times New Roman" w:hAnsi="Times New Roman" w:eastAsia="仿宋" w:cs="Times New Roman"/>
                <w:sz w:val="21"/>
                <w:szCs w:val="21"/>
              </w:rPr>
            </w:pPr>
          </w:p>
          <w:p>
            <w:pPr>
              <w:spacing w:after="0"/>
              <w:rPr>
                <w:rFonts w:ascii="Times New Roman" w:hAnsi="Times New Roman" w:eastAsia="仿宋" w:cs="Times New Roman"/>
                <w:sz w:val="21"/>
                <w:szCs w:val="21"/>
              </w:rPr>
            </w:pPr>
          </w:p>
          <w:p>
            <w:pPr>
              <w:spacing w:after="0"/>
              <w:rPr>
                <w:rFonts w:ascii="Times New Roman" w:hAnsi="Times New Roman" w:eastAsia="仿宋" w:cs="Times New Roman"/>
                <w:sz w:val="21"/>
                <w:szCs w:val="21"/>
              </w:rPr>
            </w:pPr>
          </w:p>
          <w:p>
            <w:pPr>
              <w:spacing w:after="0"/>
              <w:rPr>
                <w:rFonts w:ascii="Times New Roman" w:hAnsi="Times New Roman" w:eastAsia="仿宋" w:cs="Times New Roman"/>
                <w:sz w:val="21"/>
                <w:szCs w:val="21"/>
              </w:rPr>
            </w:pPr>
          </w:p>
          <w:p>
            <w:pPr>
              <w:spacing w:after="0"/>
              <w:rPr>
                <w:rFonts w:ascii="Times New Roman" w:hAnsi="Times New Roman" w:eastAsia="仿宋" w:cs="Times New Roman"/>
                <w:sz w:val="21"/>
                <w:szCs w:val="21"/>
              </w:rPr>
            </w:pPr>
          </w:p>
          <w:p>
            <w:pPr>
              <w:spacing w:after="0"/>
              <w:rPr>
                <w:rFonts w:ascii="Times New Roman" w:hAnsi="Times New Roman" w:eastAsia="仿宋" w:cs="Times New Roman"/>
                <w:sz w:val="21"/>
                <w:szCs w:val="21"/>
              </w:rPr>
            </w:pPr>
          </w:p>
          <w:p>
            <w:pPr>
              <w:spacing w:after="0"/>
              <w:rPr>
                <w:rFonts w:ascii="Times New Roman" w:hAnsi="Times New Roman" w:eastAsia="仿宋" w:cs="Times New Roman"/>
                <w:sz w:val="21"/>
                <w:szCs w:val="21"/>
              </w:rPr>
            </w:pP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1"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1"/>
                <w:szCs w:val="21"/>
              </w:rPr>
            </w:pPr>
            <w:r>
              <w:rPr>
                <w:rFonts w:ascii="Times New Roman" w:hAnsi="黑体" w:eastAsia="黑体" w:cs="Times New Roman"/>
                <w:sz w:val="21"/>
                <w:szCs w:val="21"/>
              </w:rPr>
              <w:t>社会服务与公共服务</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1"/>
                <w:szCs w:val="21"/>
              </w:rPr>
            </w:pPr>
            <w:r>
              <w:rPr>
                <w:rFonts w:hint="eastAsia" w:ascii="Times New Roman" w:hAnsi="Times New Roman" w:eastAsia="仿宋" w:cs="Times New Roman"/>
                <w:sz w:val="21"/>
                <w:szCs w:val="21"/>
              </w:rPr>
              <w:t>积极参与学科、学院和学校组织的社会服务项目、以及学院组织的其他公共事务，关心集体，服务社会。主持推进咸丰县恩施黑猪开发项目，取得良好的社会效应；不以任何方式拒绝或消极参与学院其他公共事务。</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1"/>
                <w:szCs w:val="21"/>
              </w:rPr>
            </w:pPr>
            <w:r>
              <w:rPr>
                <w:rFonts w:hint="eastAsia" w:ascii="Times New Roman" w:hAnsi="Times New Roman" w:eastAsia="仿宋" w:cs="Times New Roman"/>
                <w:sz w:val="21"/>
                <w:szCs w:val="21"/>
              </w:rPr>
              <w:t>积极参与社会服务项目，以及学院组织的其他公共事务，服务社会。获批湖北省重</w:t>
            </w:r>
            <w:r>
              <w:rPr>
                <w:rFonts w:ascii="Times New Roman" w:hAnsi="Times New Roman" w:eastAsia="仿宋" w:cs="Times New Roman"/>
                <w:sz w:val="21"/>
                <w:szCs w:val="21"/>
              </w:rPr>
              <w:t>产业化</w:t>
            </w:r>
            <w:r>
              <w:rPr>
                <w:rFonts w:hint="eastAsia" w:ascii="Times New Roman" w:hAnsi="Times New Roman" w:eastAsia="仿宋" w:cs="Times New Roman"/>
                <w:sz w:val="21"/>
                <w:szCs w:val="21"/>
              </w:rPr>
              <w:t>项目一项；主持推进咸丰县恩施黑猪开发项目，到恩施州地大农牧有限责任公司（咸丰），思乐集团等指导恩施黑猪遗传资源数据整理，向农业部韩长赋部长等领导汇报“恩施黑猪”保种工作，对“恩施黑猪”保种工作进行以来作相关总结及对保种后期作出具体安排，对种猪测定站的建立提相关建设性意见，新血统的建立方法</w:t>
            </w:r>
            <w:r>
              <w:rPr>
                <w:rFonts w:ascii="Times New Roman" w:hAnsi="Times New Roman" w:eastAsia="仿宋" w:cs="Times New Roman"/>
                <w:sz w:val="21"/>
                <w:szCs w:val="21"/>
              </w:rPr>
              <w:t>；依托</w:t>
            </w:r>
            <w:r>
              <w:rPr>
                <w:rFonts w:hint="eastAsia" w:ascii="Times New Roman" w:hAnsi="Times New Roman" w:eastAsia="仿宋" w:cs="Times New Roman"/>
                <w:sz w:val="21"/>
                <w:szCs w:val="21"/>
              </w:rPr>
              <w:t>国家家畜</w:t>
            </w:r>
            <w:r>
              <w:rPr>
                <w:rFonts w:ascii="Times New Roman" w:hAnsi="Times New Roman" w:eastAsia="仿宋" w:cs="Times New Roman"/>
                <w:sz w:val="21"/>
                <w:szCs w:val="21"/>
              </w:rPr>
              <w:t>工程技术研究中心为企业进行育种指导和</w:t>
            </w:r>
            <w:r>
              <w:rPr>
                <w:rFonts w:hint="eastAsia" w:ascii="Times New Roman" w:hAnsi="Times New Roman" w:eastAsia="仿宋" w:cs="Times New Roman"/>
                <w:sz w:val="21"/>
                <w:szCs w:val="21"/>
              </w:rPr>
              <w:t>分子标记</w:t>
            </w:r>
            <w:r>
              <w:rPr>
                <w:rFonts w:ascii="Times New Roman" w:hAnsi="Times New Roman" w:eastAsia="仿宋" w:cs="Times New Roman"/>
                <w:sz w:val="21"/>
                <w:szCs w:val="21"/>
              </w:rPr>
              <w:t>育种，争取到两家企业经费支持</w:t>
            </w:r>
            <w:r>
              <w:rPr>
                <w:rFonts w:hint="eastAsia" w:ascii="Times New Roman" w:hAnsi="Times New Roman" w:eastAsia="仿宋" w:cs="Times New Roman"/>
                <w:sz w:val="21"/>
                <w:szCs w:val="21"/>
              </w:rPr>
              <w:t>。</w:t>
            </w:r>
            <w:r>
              <w:rPr>
                <w:rFonts w:ascii="Times New Roman" w:hAnsi="Times New Roman" w:eastAsia="仿宋" w:cs="Times New Roman"/>
                <w:sz w:val="21"/>
                <w:szCs w:val="21"/>
              </w:rPr>
              <w:t>最近入选了生猪岗位体系科学家。</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bookmarkStart w:id="0" w:name="_GoBack"/>
            <w:bookmarkEnd w:id="0"/>
          </w:p>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p>
            <w:pPr>
              <w:spacing w:after="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1"/>
                <w:szCs w:val="21"/>
              </w:rPr>
            </w:pPr>
            <w:r>
              <w:rPr>
                <w:rFonts w:ascii="Times New Roman" w:hAnsi="黑体" w:eastAsia="黑体" w:cs="Times New Roman"/>
                <w:sz w:val="21"/>
                <w:szCs w:val="21"/>
              </w:rPr>
              <w:t>各级单位</w:t>
            </w:r>
          </w:p>
          <w:p>
            <w:pPr>
              <w:spacing w:after="0"/>
              <w:jc w:val="center"/>
              <w:rPr>
                <w:rFonts w:ascii="Times New Roman" w:hAnsi="Times New Roman" w:eastAsia="黑体" w:cs="Times New Roman"/>
                <w:sz w:val="21"/>
                <w:szCs w:val="21"/>
              </w:rPr>
            </w:pPr>
            <w:r>
              <w:rPr>
                <w:rFonts w:ascii="Times New Roman" w:hAnsi="黑体" w:eastAsia="黑体" w:cs="Times New Roman"/>
                <w:sz w:val="21"/>
                <w:szCs w:val="21"/>
              </w:rPr>
              <w:t>审核意见</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1"/>
                <w:szCs w:val="21"/>
              </w:rPr>
            </w:pPr>
            <w:r>
              <w:rPr>
                <w:rFonts w:ascii="Times New Roman" w:hAnsi="黑体" w:eastAsia="黑体" w:cs="Times New Roman"/>
                <w:sz w:val="21"/>
                <w:szCs w:val="21"/>
              </w:rPr>
              <w:t>系（教研室）</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1"/>
                <w:szCs w:val="21"/>
              </w:rPr>
            </w:pPr>
            <w:r>
              <w:rPr>
                <w:rFonts w:ascii="Times New Roman" w:hAnsi="黑体" w:eastAsia="黑体" w:cs="Times New Roman"/>
                <w:sz w:val="21"/>
                <w:szCs w:val="21"/>
              </w:rPr>
              <w:t>学院（部）</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评估委员会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1"/>
                <w:szCs w:val="21"/>
              </w:rPr>
            </w:pPr>
            <w:r>
              <w:rPr>
                <w:rFonts w:ascii="Times New Roman" w:hAnsi="黑体" w:eastAsia="黑体" w:cs="Times New Roman"/>
                <w:sz w:val="21"/>
                <w:szCs w:val="21"/>
              </w:rPr>
              <w:t>评估意见</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1"/>
                <w:szCs w:val="21"/>
              </w:rPr>
            </w:pP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1"/>
                <w:szCs w:val="21"/>
              </w:rPr>
            </w:pP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9"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1"/>
                <w:szCs w:val="21"/>
              </w:rPr>
            </w:pPr>
            <w:r>
              <w:rPr>
                <w:rFonts w:ascii="Times New Roman" w:hAnsi="黑体" w:eastAsia="黑体" w:cs="Times New Roman"/>
                <w:sz w:val="21"/>
                <w:szCs w:val="21"/>
              </w:rPr>
              <w:t>后期工作</w:t>
            </w:r>
          </w:p>
          <w:p>
            <w:pPr>
              <w:spacing w:after="0"/>
              <w:jc w:val="center"/>
              <w:rPr>
                <w:rFonts w:ascii="Times New Roman" w:hAnsi="Times New Roman" w:eastAsia="仿宋" w:cs="Times New Roman"/>
                <w:sz w:val="21"/>
                <w:szCs w:val="21"/>
              </w:rPr>
            </w:pPr>
            <w:r>
              <w:rPr>
                <w:rFonts w:ascii="Times New Roman" w:hAnsi="黑体" w:eastAsia="黑体" w:cs="Times New Roman"/>
                <w:sz w:val="21"/>
                <w:szCs w:val="21"/>
              </w:rPr>
              <w:t>建议</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1"/>
                <w:szCs w:val="21"/>
              </w:rPr>
            </w:pP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1"/>
                <w:szCs w:val="21"/>
              </w:rPr>
            </w:pP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1"/>
                <w:szCs w:val="21"/>
              </w:rPr>
            </w:pPr>
            <w:r>
              <w:rPr>
                <w:rFonts w:ascii="Times New Roman" w:hAnsi="黑体" w:eastAsia="黑体" w:cs="Times New Roman"/>
                <w:sz w:val="21"/>
                <w:szCs w:val="21"/>
              </w:rPr>
              <w:t>负责人签名单位盖章</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1"/>
                <w:szCs w:val="21"/>
              </w:rPr>
            </w:pPr>
            <w:r>
              <w:rPr>
                <w:rFonts w:ascii="Times New Roman" w:hAnsi="仿宋" w:eastAsia="仿宋" w:cs="Times New Roman"/>
                <w:sz w:val="21"/>
                <w:szCs w:val="21"/>
              </w:rPr>
              <w:t>签名：</w:t>
            </w:r>
            <w:r>
              <w:rPr>
                <w:rFonts w:hint="eastAsia" w:ascii="Times New Roman" w:hAnsi="仿宋" w:eastAsia="仿宋" w:cs="Times New Roman"/>
                <w:sz w:val="21"/>
                <w:szCs w:val="21"/>
              </w:rPr>
              <w:t xml:space="preserve">                     </w:t>
            </w:r>
            <w:r>
              <w:rPr>
                <w:rFonts w:ascii="Times New Roman" w:hAnsi="仿宋" w:eastAsia="仿宋" w:cs="Times New Roman"/>
                <w:sz w:val="21"/>
                <w:szCs w:val="21"/>
              </w:rPr>
              <w:t>日期：</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1"/>
                <w:szCs w:val="21"/>
              </w:rPr>
            </w:pPr>
            <w:r>
              <w:rPr>
                <w:rFonts w:ascii="Times New Roman" w:hAnsi="仿宋" w:eastAsia="仿宋" w:cs="Times New Roman"/>
                <w:sz w:val="21"/>
                <w:szCs w:val="21"/>
              </w:rPr>
              <w:t>公章：</w:t>
            </w:r>
            <w:r>
              <w:rPr>
                <w:rFonts w:hint="eastAsia" w:ascii="Times New Roman" w:hAnsi="仿宋" w:eastAsia="仿宋" w:cs="Times New Roman"/>
                <w:sz w:val="21"/>
                <w:szCs w:val="21"/>
              </w:rPr>
              <w:t xml:space="preserve">                             </w:t>
            </w:r>
            <w:r>
              <w:rPr>
                <w:rFonts w:ascii="Times New Roman" w:hAnsi="仿宋" w:eastAsia="仿宋" w:cs="Times New Roman"/>
                <w:sz w:val="21"/>
                <w:szCs w:val="21"/>
              </w:rPr>
              <w:t>日期：</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仿宋" w:eastAsia="仿宋" w:cs="Times New Roman"/>
                <w:sz w:val="24"/>
                <w:szCs w:val="24"/>
              </w:rPr>
              <w:t>公章：</w:t>
            </w:r>
            <w:r>
              <w:rPr>
                <w:rFonts w:hint="eastAsia" w:ascii="Times New Roman" w:hAnsi="仿宋" w:eastAsia="仿宋" w:cs="Times New Roman"/>
                <w:sz w:val="24"/>
                <w:szCs w:val="24"/>
              </w:rPr>
              <w:t xml:space="preserve">                      </w:t>
            </w:r>
            <w:r>
              <w:rPr>
                <w:rFonts w:ascii="Times New Roman" w:hAnsi="仿宋" w:eastAsia="仿宋" w:cs="Times New Roman"/>
                <w:sz w:val="24"/>
                <w:szCs w:val="24"/>
              </w:rPr>
              <w:t>日期：</w:t>
            </w:r>
          </w:p>
        </w:tc>
      </w:tr>
    </w:tbl>
    <w:p>
      <w:pPr>
        <w:spacing w:after="0" w:line="360" w:lineRule="auto"/>
        <w:rPr>
          <w:rFonts w:hint="eastAsia" w:ascii="Times New Roman" w:hAnsi="Times New Roman" w:eastAsia="仿宋_GB2312" w:cs="Times New Roman"/>
          <w:sz w:val="28"/>
          <w:szCs w:val="28"/>
        </w:rPr>
      </w:pPr>
    </w:p>
    <w:sectPr>
      <w:headerReference r:id="rId3" w:type="default"/>
      <w:pgSz w:w="16838" w:h="11906" w:orient="landscape"/>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50"/>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50"/>
    <w:family w:val="roma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4194"/>
    <w:rsid w:val="00017960"/>
    <w:rsid w:val="0003298F"/>
    <w:rsid w:val="00083E19"/>
    <w:rsid w:val="0009280E"/>
    <w:rsid w:val="000B229B"/>
    <w:rsid w:val="000C06E2"/>
    <w:rsid w:val="000D1792"/>
    <w:rsid w:val="000F4818"/>
    <w:rsid w:val="00106CDD"/>
    <w:rsid w:val="001132A9"/>
    <w:rsid w:val="001153CF"/>
    <w:rsid w:val="00124621"/>
    <w:rsid w:val="00180685"/>
    <w:rsid w:val="0018414E"/>
    <w:rsid w:val="0018420D"/>
    <w:rsid w:val="00191521"/>
    <w:rsid w:val="00195F28"/>
    <w:rsid w:val="001C3B5B"/>
    <w:rsid w:val="001C67AE"/>
    <w:rsid w:val="001D558D"/>
    <w:rsid w:val="002025D2"/>
    <w:rsid w:val="00213A6E"/>
    <w:rsid w:val="00214D70"/>
    <w:rsid w:val="002404DB"/>
    <w:rsid w:val="0029409F"/>
    <w:rsid w:val="002B20DB"/>
    <w:rsid w:val="002B70B9"/>
    <w:rsid w:val="002B7544"/>
    <w:rsid w:val="002C5732"/>
    <w:rsid w:val="002C65B3"/>
    <w:rsid w:val="0030535B"/>
    <w:rsid w:val="003166B3"/>
    <w:rsid w:val="0031719B"/>
    <w:rsid w:val="00320338"/>
    <w:rsid w:val="00323B43"/>
    <w:rsid w:val="00331861"/>
    <w:rsid w:val="00332111"/>
    <w:rsid w:val="0033378E"/>
    <w:rsid w:val="003364FE"/>
    <w:rsid w:val="00352200"/>
    <w:rsid w:val="003569D5"/>
    <w:rsid w:val="00356D60"/>
    <w:rsid w:val="00367E50"/>
    <w:rsid w:val="003968F8"/>
    <w:rsid w:val="003D37D8"/>
    <w:rsid w:val="003E2A3C"/>
    <w:rsid w:val="004068E2"/>
    <w:rsid w:val="00411227"/>
    <w:rsid w:val="00426133"/>
    <w:rsid w:val="004358AB"/>
    <w:rsid w:val="004400E4"/>
    <w:rsid w:val="0047622C"/>
    <w:rsid w:val="004D1925"/>
    <w:rsid w:val="005252D7"/>
    <w:rsid w:val="005301EE"/>
    <w:rsid w:val="00550EE3"/>
    <w:rsid w:val="00554B25"/>
    <w:rsid w:val="00564E0C"/>
    <w:rsid w:val="005923C8"/>
    <w:rsid w:val="005950D3"/>
    <w:rsid w:val="005A5472"/>
    <w:rsid w:val="005A6048"/>
    <w:rsid w:val="005B0027"/>
    <w:rsid w:val="005B27F5"/>
    <w:rsid w:val="005B466F"/>
    <w:rsid w:val="005D4CA0"/>
    <w:rsid w:val="005E3DAE"/>
    <w:rsid w:val="005F5607"/>
    <w:rsid w:val="00600AF5"/>
    <w:rsid w:val="00605A33"/>
    <w:rsid w:val="00610004"/>
    <w:rsid w:val="0063541C"/>
    <w:rsid w:val="006B2106"/>
    <w:rsid w:val="006C4AE5"/>
    <w:rsid w:val="006D322A"/>
    <w:rsid w:val="006F340D"/>
    <w:rsid w:val="00700DAA"/>
    <w:rsid w:val="00722225"/>
    <w:rsid w:val="00724482"/>
    <w:rsid w:val="00724931"/>
    <w:rsid w:val="00730A5E"/>
    <w:rsid w:val="00750A46"/>
    <w:rsid w:val="007526CA"/>
    <w:rsid w:val="00766594"/>
    <w:rsid w:val="00777ABE"/>
    <w:rsid w:val="007800B9"/>
    <w:rsid w:val="007A30A2"/>
    <w:rsid w:val="007A45E0"/>
    <w:rsid w:val="007C6E94"/>
    <w:rsid w:val="007D0E41"/>
    <w:rsid w:val="007D2A99"/>
    <w:rsid w:val="007F61F2"/>
    <w:rsid w:val="00810FD8"/>
    <w:rsid w:val="00851ECA"/>
    <w:rsid w:val="00887CA3"/>
    <w:rsid w:val="008A65A2"/>
    <w:rsid w:val="008A694A"/>
    <w:rsid w:val="008B561E"/>
    <w:rsid w:val="008B70D7"/>
    <w:rsid w:val="008B7726"/>
    <w:rsid w:val="008C014C"/>
    <w:rsid w:val="008C7503"/>
    <w:rsid w:val="008D6781"/>
    <w:rsid w:val="00904059"/>
    <w:rsid w:val="00922B48"/>
    <w:rsid w:val="009263F4"/>
    <w:rsid w:val="009443E0"/>
    <w:rsid w:val="009555B3"/>
    <w:rsid w:val="00973924"/>
    <w:rsid w:val="00974E49"/>
    <w:rsid w:val="0097690B"/>
    <w:rsid w:val="0099132C"/>
    <w:rsid w:val="009A2806"/>
    <w:rsid w:val="009B4263"/>
    <w:rsid w:val="009C7C1C"/>
    <w:rsid w:val="009E55FA"/>
    <w:rsid w:val="009F2BC3"/>
    <w:rsid w:val="00A12DE4"/>
    <w:rsid w:val="00A14DE8"/>
    <w:rsid w:val="00A8117C"/>
    <w:rsid w:val="00A83680"/>
    <w:rsid w:val="00AD11A7"/>
    <w:rsid w:val="00AF05C0"/>
    <w:rsid w:val="00B06659"/>
    <w:rsid w:val="00B12593"/>
    <w:rsid w:val="00B14AE2"/>
    <w:rsid w:val="00B25A19"/>
    <w:rsid w:val="00B37B77"/>
    <w:rsid w:val="00B66335"/>
    <w:rsid w:val="00B8321A"/>
    <w:rsid w:val="00B87BAE"/>
    <w:rsid w:val="00BA46A6"/>
    <w:rsid w:val="00C610E0"/>
    <w:rsid w:val="00C74A45"/>
    <w:rsid w:val="00C92526"/>
    <w:rsid w:val="00C96EAC"/>
    <w:rsid w:val="00CB0304"/>
    <w:rsid w:val="00CB31FF"/>
    <w:rsid w:val="00D27322"/>
    <w:rsid w:val="00D31D50"/>
    <w:rsid w:val="00D3745F"/>
    <w:rsid w:val="00D80CB3"/>
    <w:rsid w:val="00D917B8"/>
    <w:rsid w:val="00DA00C9"/>
    <w:rsid w:val="00DA3AD7"/>
    <w:rsid w:val="00DA69F1"/>
    <w:rsid w:val="00DE2CC4"/>
    <w:rsid w:val="00DE6EDD"/>
    <w:rsid w:val="00E05518"/>
    <w:rsid w:val="00E11F20"/>
    <w:rsid w:val="00E1782C"/>
    <w:rsid w:val="00E2280A"/>
    <w:rsid w:val="00E33017"/>
    <w:rsid w:val="00E36A61"/>
    <w:rsid w:val="00E56426"/>
    <w:rsid w:val="00E76F86"/>
    <w:rsid w:val="00E97697"/>
    <w:rsid w:val="00EA58DC"/>
    <w:rsid w:val="00EC7F16"/>
    <w:rsid w:val="00F01747"/>
    <w:rsid w:val="00F2459E"/>
    <w:rsid w:val="00F27B1E"/>
    <w:rsid w:val="00F3395F"/>
    <w:rsid w:val="00F35923"/>
    <w:rsid w:val="00F53ED9"/>
    <w:rsid w:val="00F71E38"/>
    <w:rsid w:val="00F76134"/>
    <w:rsid w:val="00F804DB"/>
    <w:rsid w:val="00F9337C"/>
    <w:rsid w:val="00FC3AB4"/>
    <w:rsid w:val="00FD141D"/>
    <w:rsid w:val="00FD5928"/>
    <w:rsid w:val="00FE6CB5"/>
    <w:rsid w:val="00FF1829"/>
    <w:rsid w:val="0F9D3F94"/>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uiPriority w:val="99"/>
    <w:rPr>
      <w:b/>
      <w:bCs/>
    </w:rPr>
  </w:style>
  <w:style w:type="paragraph" w:styleId="3">
    <w:name w:val="annotation text"/>
    <w:basedOn w:val="1"/>
    <w:link w:val="15"/>
    <w:unhideWhenUsed/>
    <w:uiPriority w:val="99"/>
  </w:style>
  <w:style w:type="paragraph" w:styleId="4">
    <w:name w:val="Balloon Text"/>
    <w:basedOn w:val="1"/>
    <w:link w:val="13"/>
    <w:unhideWhenUsed/>
    <w:uiPriority w:val="99"/>
    <w:pPr>
      <w:spacing w:after="0"/>
    </w:pPr>
    <w:rPr>
      <w:sz w:val="18"/>
      <w:szCs w:val="18"/>
    </w:rPr>
  </w:style>
  <w:style w:type="paragraph" w:styleId="5">
    <w:name w:val="footer"/>
    <w:basedOn w:val="1"/>
    <w:link w:val="12"/>
    <w:unhideWhenUsed/>
    <w:uiPriority w:val="99"/>
    <w:pPr>
      <w:tabs>
        <w:tab w:val="center" w:pos="4153"/>
        <w:tab w:val="right" w:pos="8306"/>
      </w:tabs>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jc w:val="center"/>
    </w:pPr>
    <w:rPr>
      <w:sz w:val="18"/>
      <w:szCs w:val="18"/>
    </w:rPr>
  </w:style>
  <w:style w:type="character" w:styleId="8">
    <w:name w:val="annotation reference"/>
    <w:basedOn w:val="7"/>
    <w:unhideWhenUsed/>
    <w:uiPriority w:val="99"/>
    <w:rPr>
      <w:sz w:val="21"/>
      <w:szCs w:val="21"/>
    </w:rPr>
  </w:style>
  <w:style w:type="table" w:styleId="10">
    <w:name w:val="Table Grid"/>
    <w:basedOn w:val="9"/>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字符"/>
    <w:basedOn w:val="7"/>
    <w:link w:val="6"/>
    <w:uiPriority w:val="99"/>
    <w:rPr>
      <w:rFonts w:ascii="Tahoma" w:hAnsi="Tahoma"/>
      <w:sz w:val="18"/>
      <w:szCs w:val="18"/>
    </w:rPr>
  </w:style>
  <w:style w:type="character" w:customStyle="1" w:styleId="12">
    <w:name w:val="页脚字符"/>
    <w:basedOn w:val="7"/>
    <w:link w:val="5"/>
    <w:uiPriority w:val="99"/>
    <w:rPr>
      <w:rFonts w:ascii="Tahoma" w:hAnsi="Tahoma"/>
      <w:sz w:val="18"/>
      <w:szCs w:val="18"/>
    </w:rPr>
  </w:style>
  <w:style w:type="character" w:customStyle="1" w:styleId="13">
    <w:name w:val="批注框文本字符"/>
    <w:basedOn w:val="7"/>
    <w:link w:val="4"/>
    <w:semiHidden/>
    <w:uiPriority w:val="99"/>
    <w:rPr>
      <w:rFonts w:ascii="Tahoma" w:hAnsi="Tahoma"/>
      <w:sz w:val="18"/>
      <w:szCs w:val="18"/>
    </w:rPr>
  </w:style>
  <w:style w:type="paragraph" w:customStyle="1" w:styleId="14">
    <w:name w:val="List Paragraph"/>
    <w:basedOn w:val="1"/>
    <w:qFormat/>
    <w:uiPriority w:val="34"/>
    <w:pPr>
      <w:ind w:firstLine="420" w:firstLineChars="200"/>
    </w:pPr>
  </w:style>
  <w:style w:type="character" w:customStyle="1" w:styleId="15">
    <w:name w:val="批注文字字符"/>
    <w:basedOn w:val="7"/>
    <w:link w:val="3"/>
    <w:semiHidden/>
    <w:uiPriority w:val="99"/>
    <w:rPr>
      <w:rFonts w:ascii="Tahoma" w:hAnsi="Tahoma"/>
    </w:rPr>
  </w:style>
  <w:style w:type="character" w:customStyle="1" w:styleId="16">
    <w:name w:val="批注主题字符"/>
    <w:basedOn w:val="15"/>
    <w:link w:val="2"/>
    <w:semiHidden/>
    <w:uiPriority w:val="99"/>
    <w:rPr>
      <w:rFonts w:ascii="Tahoma" w:hAnsi="Tahoma"/>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FE478-DFB2-5545-9364-D1C39787487A}">
  <ds:schemaRefs/>
</ds:datastoreItem>
</file>

<file path=docProps/app.xml><?xml version="1.0" encoding="utf-8"?>
<Properties xmlns="http://schemas.openxmlformats.org/officeDocument/2006/extended-properties" xmlns:vt="http://schemas.openxmlformats.org/officeDocument/2006/docPropsVTypes">
  <Template>Normal.dotm</Template>
  <Company>shendu</Company>
  <Pages>4</Pages>
  <Words>491</Words>
  <Characters>2804</Characters>
  <Lines>23</Lines>
  <Paragraphs>6</Paragraphs>
  <TotalTime>0</TotalTime>
  <ScaleCrop>false</ScaleCrop>
  <LinksUpToDate>false</LinksUpToDate>
  <CharactersWithSpaces>3289</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2017-04-06T00:52:00Z</dcterms:created>
  <dc:creator>Administrator</dc:creator>
  <cp:lastModifiedBy>Administrator</cp:lastModifiedBy>
  <cp:lastPrinted>2017-04-24T12:45:00Z</cp:lastPrinted>
  <dcterms:modified xsi:type="dcterms:W3CDTF">2017-04-27T00:53:25Z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